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084" w:rsidRDefault="00DD6084" w:rsidP="00436AC5">
      <w:pPr>
        <w:pStyle w:val="GGA1"/>
        <w:rPr>
          <w:rFonts w:ascii="Arial" w:hAnsi="Arial" w:cs="Arial"/>
          <w:sz w:val="20"/>
          <w:szCs w:val="20"/>
        </w:rPr>
      </w:pPr>
      <w:r w:rsidRPr="00207EA4">
        <w:rPr>
          <w:rFonts w:ascii="Arial" w:hAnsi="Arial" w:cs="Arial"/>
          <w:noProof/>
          <w:sz w:val="20"/>
          <w:szCs w:val="20"/>
          <w:lang w:val="en-AU"/>
        </w:rPr>
        <w:drawing>
          <wp:inline distT="0" distB="0" distL="0" distR="0" wp14:anchorId="65E35411" wp14:editId="5D1CEFB5">
            <wp:extent cx="580798" cy="86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Guides Australi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722" cy="867948"/>
                    </a:xfrm>
                    <a:prstGeom prst="rect">
                      <a:avLst/>
                    </a:prstGeom>
                  </pic:spPr>
                </pic:pic>
              </a:graphicData>
            </a:graphic>
          </wp:inline>
        </w:drawing>
      </w:r>
    </w:p>
    <w:p w:rsidR="0017139A" w:rsidRPr="00207EA4" w:rsidRDefault="0017139A" w:rsidP="00436AC5">
      <w:pPr>
        <w:pStyle w:val="GGA1"/>
        <w:rPr>
          <w:rFonts w:ascii="Arial" w:hAnsi="Arial" w:cs="Arial"/>
          <w:sz w:val="20"/>
          <w:szCs w:val="20"/>
        </w:rPr>
      </w:pPr>
    </w:p>
    <w:p w:rsidR="00C0538B" w:rsidRPr="00207EA4" w:rsidRDefault="00D53421" w:rsidP="00207EA4">
      <w:pPr>
        <w:pStyle w:val="GGA1"/>
      </w:pPr>
      <w:r w:rsidRPr="00207EA4">
        <w:t>Managing Operational Risk</w:t>
      </w:r>
    </w:p>
    <w:p w:rsidR="00E20CDB" w:rsidRPr="00207EA4" w:rsidRDefault="00E20CDB" w:rsidP="00E20CDB">
      <w:pPr>
        <w:rPr>
          <w:rFonts w:ascii="Arial" w:hAnsi="Arial" w:cs="Arial"/>
          <w:b/>
          <w:sz w:val="20"/>
          <w:szCs w:val="20"/>
          <w:lang w:val="en-US"/>
        </w:rPr>
      </w:pPr>
    </w:p>
    <w:p w:rsidR="00E20CDB" w:rsidRPr="00207EA4" w:rsidRDefault="00E20CDB" w:rsidP="00DD73DF">
      <w:pPr>
        <w:jc w:val="center"/>
        <w:rPr>
          <w:rFonts w:ascii="Arial" w:hAnsi="Arial" w:cs="Arial"/>
          <w:sz w:val="20"/>
          <w:szCs w:val="20"/>
        </w:rPr>
      </w:pPr>
    </w:p>
    <w:p w:rsidR="00E20CDB" w:rsidRPr="00207EA4" w:rsidRDefault="00436AC5" w:rsidP="00B6497F">
      <w:pPr>
        <w:jc w:val="center"/>
        <w:rPr>
          <w:rFonts w:ascii="Arial" w:hAnsi="Arial" w:cs="Arial"/>
          <w:sz w:val="20"/>
          <w:szCs w:val="20"/>
        </w:rPr>
      </w:pPr>
      <w:r w:rsidRPr="00207EA4">
        <w:rPr>
          <w:rFonts w:ascii="Arial" w:hAnsi="Arial" w:cs="Arial"/>
          <w:noProof/>
          <w:color w:val="0000FF"/>
          <w:sz w:val="20"/>
          <w:szCs w:val="20"/>
          <w:lang w:eastAsia="en-AU"/>
        </w:rPr>
        <w:drawing>
          <wp:inline distT="0" distB="0" distL="0" distR="0" wp14:anchorId="1FE67166" wp14:editId="66990974">
            <wp:extent cx="3224938" cy="2293495"/>
            <wp:effectExtent l="0" t="0" r="0" b="0"/>
            <wp:docPr id="1" name="irc_mi" descr="Image result for images risk manag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risk managemen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0665" cy="2297568"/>
                    </a:xfrm>
                    <a:prstGeom prst="rect">
                      <a:avLst/>
                    </a:prstGeom>
                    <a:noFill/>
                    <a:ln>
                      <a:noFill/>
                    </a:ln>
                  </pic:spPr>
                </pic:pic>
              </a:graphicData>
            </a:graphic>
          </wp:inline>
        </w:drawing>
      </w:r>
    </w:p>
    <w:p w:rsidR="00E20CDB" w:rsidRPr="00207EA4" w:rsidRDefault="00E20CDB" w:rsidP="00FA106D">
      <w:pPr>
        <w:jc w:val="center"/>
        <w:rPr>
          <w:rFonts w:ascii="Arial" w:hAnsi="Arial" w:cs="Arial"/>
          <w:sz w:val="20"/>
          <w:szCs w:val="20"/>
        </w:rPr>
      </w:pPr>
    </w:p>
    <w:p w:rsidR="00DD6084" w:rsidRDefault="00DD6084" w:rsidP="00207EA4">
      <w:pPr>
        <w:pStyle w:val="GGA4"/>
        <w:jc w:val="center"/>
        <w:rPr>
          <w:sz w:val="32"/>
        </w:rPr>
      </w:pPr>
    </w:p>
    <w:p w:rsidR="00B6497F" w:rsidRPr="00DD6084" w:rsidRDefault="00436AC5" w:rsidP="00207EA4">
      <w:pPr>
        <w:pStyle w:val="GGA4"/>
        <w:jc w:val="center"/>
        <w:rPr>
          <w:sz w:val="32"/>
        </w:rPr>
      </w:pPr>
      <w:r w:rsidRPr="00DD6084">
        <w:rPr>
          <w:sz w:val="32"/>
        </w:rPr>
        <w:t>Reference M</w:t>
      </w:r>
      <w:r w:rsidR="00B6497F" w:rsidRPr="00DD6084">
        <w:rPr>
          <w:sz w:val="32"/>
        </w:rPr>
        <w:t>anual</w:t>
      </w:r>
    </w:p>
    <w:p w:rsidR="000B4437" w:rsidRDefault="000B4437" w:rsidP="00207EA4">
      <w:pPr>
        <w:pStyle w:val="GGA2"/>
        <w:rPr>
          <w:color w:val="0033A1"/>
        </w:rPr>
      </w:pPr>
    </w:p>
    <w:p w:rsidR="00E20CDB" w:rsidRPr="00A82FDE" w:rsidRDefault="00D61911" w:rsidP="00207EA4">
      <w:pPr>
        <w:pStyle w:val="GGA2"/>
        <w:rPr>
          <w:color w:val="0033A1"/>
        </w:rPr>
      </w:pPr>
      <w:r w:rsidRPr="00A82FDE">
        <w:rPr>
          <w:color w:val="0033A1"/>
        </w:rPr>
        <w:t xml:space="preserve">Girl </w:t>
      </w:r>
      <w:r w:rsidR="00E20CDB" w:rsidRPr="00A82FDE">
        <w:rPr>
          <w:color w:val="0033A1"/>
        </w:rPr>
        <w:t>Guide vision</w:t>
      </w:r>
    </w:p>
    <w:p w:rsidR="00C0538B" w:rsidRPr="00207EA4" w:rsidRDefault="00050CC2" w:rsidP="00C0538B">
      <w:pPr>
        <w:rPr>
          <w:rFonts w:ascii="Arial" w:hAnsi="Arial" w:cs="Arial"/>
          <w:sz w:val="20"/>
          <w:szCs w:val="20"/>
        </w:rPr>
      </w:pPr>
      <w:r w:rsidRPr="00207EA4">
        <w:rPr>
          <w:rFonts w:ascii="Arial" w:hAnsi="Arial" w:cs="Arial"/>
          <w:sz w:val="20"/>
          <w:szCs w:val="20"/>
        </w:rPr>
        <w:lastRenderedPageBreak/>
        <w:t xml:space="preserve">We believe in </w:t>
      </w:r>
      <w:r w:rsidR="00C0538B" w:rsidRPr="00207EA4">
        <w:rPr>
          <w:rFonts w:ascii="Arial" w:hAnsi="Arial" w:cs="Arial"/>
          <w:sz w:val="20"/>
          <w:szCs w:val="20"/>
        </w:rPr>
        <w:t>deliver</w:t>
      </w:r>
      <w:r w:rsidRPr="00207EA4">
        <w:rPr>
          <w:rFonts w:ascii="Arial" w:hAnsi="Arial" w:cs="Arial"/>
          <w:sz w:val="20"/>
          <w:szCs w:val="20"/>
        </w:rPr>
        <w:t>ing</w:t>
      </w:r>
      <w:r w:rsidR="00C0538B" w:rsidRPr="00207EA4">
        <w:rPr>
          <w:rFonts w:ascii="Arial" w:hAnsi="Arial" w:cs="Arial"/>
          <w:sz w:val="20"/>
          <w:szCs w:val="20"/>
        </w:rPr>
        <w:t xml:space="preserve"> innovative, fun and relevant programs in </w:t>
      </w:r>
      <w:r w:rsidR="00025C95" w:rsidRPr="00207EA4">
        <w:rPr>
          <w:rFonts w:ascii="Arial" w:hAnsi="Arial" w:cs="Arial"/>
          <w:sz w:val="20"/>
          <w:szCs w:val="20"/>
        </w:rPr>
        <w:t xml:space="preserve">a </w:t>
      </w:r>
      <w:r w:rsidR="00C0538B" w:rsidRPr="00207EA4">
        <w:rPr>
          <w:rFonts w:ascii="Arial" w:hAnsi="Arial" w:cs="Arial"/>
          <w:sz w:val="20"/>
          <w:szCs w:val="20"/>
        </w:rPr>
        <w:t xml:space="preserve">practical and safe environment. </w:t>
      </w:r>
    </w:p>
    <w:p w:rsidR="00C0538B" w:rsidRPr="00207EA4" w:rsidRDefault="00C0538B" w:rsidP="00C0538B">
      <w:pPr>
        <w:rPr>
          <w:rFonts w:ascii="Arial" w:hAnsi="Arial" w:cs="Arial"/>
          <w:sz w:val="20"/>
          <w:szCs w:val="20"/>
        </w:rPr>
      </w:pPr>
    </w:p>
    <w:p w:rsidR="00E20CDB" w:rsidRDefault="00050CC2" w:rsidP="00436AC5">
      <w:pPr>
        <w:rPr>
          <w:rFonts w:ascii="Arial" w:hAnsi="Arial" w:cs="Arial"/>
          <w:sz w:val="20"/>
          <w:szCs w:val="20"/>
        </w:rPr>
      </w:pPr>
      <w:r w:rsidRPr="00207EA4">
        <w:rPr>
          <w:rFonts w:ascii="Arial" w:hAnsi="Arial" w:cs="Arial"/>
          <w:sz w:val="20"/>
          <w:szCs w:val="20"/>
        </w:rPr>
        <w:t>Guiding i</w:t>
      </w:r>
      <w:r w:rsidR="00D61911" w:rsidRPr="00207EA4">
        <w:rPr>
          <w:rFonts w:ascii="Arial" w:hAnsi="Arial" w:cs="Arial"/>
          <w:sz w:val="20"/>
          <w:szCs w:val="20"/>
        </w:rPr>
        <w:t>n Australia believes we will</w:t>
      </w:r>
      <w:r w:rsidR="00C0538B" w:rsidRPr="00207EA4">
        <w:rPr>
          <w:rFonts w:ascii="Arial" w:hAnsi="Arial" w:cs="Arial"/>
          <w:sz w:val="20"/>
          <w:szCs w:val="20"/>
        </w:rPr>
        <w:t xml:space="preserve"> achieve this vision through our </w:t>
      </w:r>
      <w:r w:rsidR="003B69DD" w:rsidRPr="00207EA4">
        <w:rPr>
          <w:rFonts w:ascii="Arial" w:hAnsi="Arial" w:cs="Arial"/>
          <w:sz w:val="20"/>
          <w:szCs w:val="20"/>
        </w:rPr>
        <w:t>risk management processes.</w:t>
      </w:r>
      <w:r w:rsidR="00C0538B" w:rsidRPr="00207EA4">
        <w:rPr>
          <w:rFonts w:ascii="Arial" w:hAnsi="Arial" w:cs="Arial"/>
          <w:sz w:val="20"/>
          <w:szCs w:val="20"/>
        </w:rPr>
        <w:t xml:space="preserve"> </w:t>
      </w:r>
    </w:p>
    <w:p w:rsidR="00DD6084" w:rsidRPr="00207EA4" w:rsidRDefault="00DD6084" w:rsidP="00436AC5">
      <w:pPr>
        <w:rPr>
          <w:rFonts w:ascii="Arial" w:hAnsi="Arial" w:cs="Arial"/>
          <w:sz w:val="20"/>
          <w:szCs w:val="20"/>
        </w:rPr>
      </w:pPr>
    </w:p>
    <w:p w:rsidR="00E20CDB" w:rsidRPr="00A82FDE" w:rsidRDefault="00E20CDB" w:rsidP="00207EA4">
      <w:pPr>
        <w:pStyle w:val="GGA2"/>
        <w:rPr>
          <w:color w:val="0033A1"/>
        </w:rPr>
      </w:pPr>
      <w:r w:rsidRPr="00A82FDE">
        <w:rPr>
          <w:color w:val="0033A1"/>
        </w:rPr>
        <w:t>What is Risk Management?</w:t>
      </w:r>
    </w:p>
    <w:p w:rsidR="00D61911" w:rsidRPr="00207EA4" w:rsidRDefault="00D61911" w:rsidP="00F74C8A">
      <w:pPr>
        <w:rPr>
          <w:rFonts w:ascii="Arial" w:hAnsi="Arial" w:cs="Arial"/>
          <w:sz w:val="20"/>
          <w:szCs w:val="20"/>
        </w:rPr>
      </w:pPr>
      <w:r w:rsidRPr="00207EA4">
        <w:rPr>
          <w:rFonts w:ascii="Arial" w:hAnsi="Arial" w:cs="Arial"/>
          <w:sz w:val="20"/>
          <w:szCs w:val="20"/>
        </w:rPr>
        <w:t xml:space="preserve">Risk Management is the culture, process and structure that is directed towards the effective management of potential </w:t>
      </w:r>
      <w:r w:rsidR="00F74C8A">
        <w:rPr>
          <w:rFonts w:ascii="Arial" w:hAnsi="Arial" w:cs="Arial"/>
          <w:sz w:val="20"/>
          <w:szCs w:val="20"/>
        </w:rPr>
        <w:t xml:space="preserve">     o</w:t>
      </w:r>
      <w:r w:rsidRPr="00207EA4">
        <w:rPr>
          <w:rFonts w:ascii="Arial" w:hAnsi="Arial" w:cs="Arial"/>
          <w:sz w:val="20"/>
          <w:szCs w:val="20"/>
        </w:rPr>
        <w:t xml:space="preserve">pportunities and adverse effects within the Girl Guide </w:t>
      </w:r>
      <w:r w:rsidR="00F74C8A">
        <w:rPr>
          <w:rFonts w:ascii="Arial" w:hAnsi="Arial" w:cs="Arial"/>
          <w:sz w:val="20"/>
          <w:szCs w:val="20"/>
        </w:rPr>
        <w:t>e</w:t>
      </w:r>
      <w:r w:rsidRPr="00207EA4">
        <w:rPr>
          <w:rFonts w:ascii="Arial" w:hAnsi="Arial" w:cs="Arial"/>
          <w:sz w:val="20"/>
          <w:szCs w:val="20"/>
        </w:rPr>
        <w:t>nvironment.</w:t>
      </w:r>
    </w:p>
    <w:p w:rsidR="00D61911" w:rsidRPr="00207EA4" w:rsidRDefault="00D61911" w:rsidP="00F74C8A">
      <w:pPr>
        <w:rPr>
          <w:rFonts w:ascii="Arial" w:hAnsi="Arial" w:cs="Arial"/>
          <w:sz w:val="20"/>
          <w:szCs w:val="20"/>
        </w:rPr>
      </w:pPr>
    </w:p>
    <w:p w:rsidR="00D61911" w:rsidRPr="00207EA4" w:rsidRDefault="00D61911" w:rsidP="00F74C8A">
      <w:pPr>
        <w:rPr>
          <w:rFonts w:ascii="Arial" w:hAnsi="Arial" w:cs="Arial"/>
          <w:sz w:val="20"/>
          <w:szCs w:val="20"/>
        </w:rPr>
      </w:pPr>
      <w:r w:rsidRPr="00207EA4">
        <w:rPr>
          <w:rFonts w:ascii="Arial" w:hAnsi="Arial" w:cs="Arial"/>
          <w:sz w:val="20"/>
          <w:szCs w:val="20"/>
        </w:rPr>
        <w:t>Ri</w:t>
      </w:r>
      <w:r w:rsidR="00C301B9" w:rsidRPr="00207EA4">
        <w:rPr>
          <w:rFonts w:ascii="Arial" w:hAnsi="Arial" w:cs="Arial"/>
          <w:sz w:val="20"/>
          <w:szCs w:val="20"/>
        </w:rPr>
        <w:t>sk management is an opportunity</w:t>
      </w:r>
      <w:r w:rsidR="00AD6F28" w:rsidRPr="00207EA4">
        <w:rPr>
          <w:rFonts w:ascii="Arial" w:hAnsi="Arial" w:cs="Arial"/>
          <w:sz w:val="20"/>
          <w:szCs w:val="20"/>
        </w:rPr>
        <w:t xml:space="preserve"> to identify our hazards and the risk</w:t>
      </w:r>
      <w:r w:rsidR="003B69DD" w:rsidRPr="00207EA4">
        <w:rPr>
          <w:rFonts w:ascii="Arial" w:hAnsi="Arial" w:cs="Arial"/>
          <w:sz w:val="20"/>
          <w:szCs w:val="20"/>
        </w:rPr>
        <w:t>s</w:t>
      </w:r>
      <w:r w:rsidR="00AD6F28" w:rsidRPr="00207EA4">
        <w:rPr>
          <w:rFonts w:ascii="Arial" w:hAnsi="Arial" w:cs="Arial"/>
          <w:sz w:val="20"/>
          <w:szCs w:val="20"/>
        </w:rPr>
        <w:t xml:space="preserve"> that come from them.</w:t>
      </w:r>
    </w:p>
    <w:p w:rsidR="00DD6084" w:rsidRPr="00207EA4" w:rsidRDefault="00DD6084" w:rsidP="00D61911">
      <w:pPr>
        <w:rPr>
          <w:rFonts w:ascii="Arial" w:hAnsi="Arial" w:cs="Arial"/>
          <w:sz w:val="20"/>
          <w:szCs w:val="20"/>
          <w:lang w:val="en-US"/>
        </w:rPr>
      </w:pPr>
    </w:p>
    <w:p w:rsidR="00D61911" w:rsidRPr="00A82FDE" w:rsidRDefault="00D61911" w:rsidP="00207EA4">
      <w:pPr>
        <w:pStyle w:val="GGA2"/>
        <w:rPr>
          <w:color w:val="0033A1"/>
        </w:rPr>
      </w:pPr>
      <w:r w:rsidRPr="00A82FDE">
        <w:rPr>
          <w:color w:val="0033A1"/>
        </w:rPr>
        <w:t xml:space="preserve">Our Risk Appetite </w:t>
      </w:r>
    </w:p>
    <w:p w:rsidR="00D61911" w:rsidRPr="00207EA4" w:rsidRDefault="00D61911" w:rsidP="00D61911">
      <w:pPr>
        <w:rPr>
          <w:rFonts w:ascii="Arial" w:hAnsi="Arial" w:cs="Arial"/>
          <w:sz w:val="20"/>
          <w:szCs w:val="20"/>
        </w:rPr>
      </w:pPr>
      <w:r w:rsidRPr="00207EA4">
        <w:rPr>
          <w:rFonts w:ascii="Arial" w:hAnsi="Arial" w:cs="Arial"/>
          <w:sz w:val="20"/>
          <w:szCs w:val="20"/>
        </w:rPr>
        <w:t>We, in Guiding, have an appetite to take reasonable risks. We are not risk a</w:t>
      </w:r>
      <w:bookmarkStart w:id="0" w:name="_GoBack"/>
      <w:bookmarkEnd w:id="0"/>
      <w:r w:rsidRPr="00207EA4">
        <w:rPr>
          <w:rFonts w:ascii="Arial" w:hAnsi="Arial" w:cs="Arial"/>
          <w:sz w:val="20"/>
          <w:szCs w:val="20"/>
        </w:rPr>
        <w:t>verse</w:t>
      </w:r>
      <w:r w:rsidR="00C301B9" w:rsidRPr="00207EA4">
        <w:rPr>
          <w:rFonts w:ascii="Arial" w:hAnsi="Arial" w:cs="Arial"/>
          <w:sz w:val="20"/>
          <w:szCs w:val="20"/>
        </w:rPr>
        <w:t>.</w:t>
      </w:r>
    </w:p>
    <w:p w:rsidR="00C301B9" w:rsidRPr="00207EA4" w:rsidRDefault="00C301B9" w:rsidP="00D61911">
      <w:pPr>
        <w:rPr>
          <w:rFonts w:ascii="Arial" w:hAnsi="Arial" w:cs="Arial"/>
          <w:sz w:val="20"/>
          <w:szCs w:val="20"/>
        </w:rPr>
      </w:pPr>
    </w:p>
    <w:p w:rsidR="00C301B9" w:rsidRPr="00207EA4" w:rsidRDefault="00C301B9" w:rsidP="00D61911">
      <w:pPr>
        <w:rPr>
          <w:rFonts w:ascii="Arial" w:hAnsi="Arial" w:cs="Arial"/>
          <w:sz w:val="20"/>
          <w:szCs w:val="20"/>
        </w:rPr>
      </w:pPr>
      <w:r w:rsidRPr="00207EA4">
        <w:rPr>
          <w:rFonts w:ascii="Arial" w:hAnsi="Arial" w:cs="Arial"/>
          <w:sz w:val="20"/>
          <w:szCs w:val="20"/>
        </w:rPr>
        <w:t>We ask that members and volunteers be accountable for their behaviors and take reasonable care with their actions</w:t>
      </w:r>
      <w:r w:rsidR="00485A9B" w:rsidRPr="00207EA4">
        <w:rPr>
          <w:rFonts w:ascii="Arial" w:hAnsi="Arial" w:cs="Arial"/>
          <w:sz w:val="20"/>
          <w:szCs w:val="20"/>
        </w:rPr>
        <w:t xml:space="preserve"> and don’t walk past things that they know to be unsafe</w:t>
      </w:r>
      <w:r w:rsidRPr="00207EA4">
        <w:rPr>
          <w:rFonts w:ascii="Arial" w:hAnsi="Arial" w:cs="Arial"/>
          <w:sz w:val="20"/>
          <w:szCs w:val="20"/>
        </w:rPr>
        <w:t>. By following Girl Guides Australia policy and procedures we will work together to maintain the health and safety of those around us.</w:t>
      </w:r>
    </w:p>
    <w:p w:rsidR="00C301B9" w:rsidRPr="00207EA4" w:rsidRDefault="00C301B9" w:rsidP="00D61911">
      <w:pPr>
        <w:rPr>
          <w:rFonts w:ascii="Arial" w:hAnsi="Arial" w:cs="Arial"/>
          <w:sz w:val="20"/>
          <w:szCs w:val="20"/>
        </w:rPr>
      </w:pPr>
    </w:p>
    <w:p w:rsidR="00F74C8A" w:rsidRDefault="00C301B9" w:rsidP="000B4437">
      <w:pPr>
        <w:spacing w:after="120"/>
        <w:rPr>
          <w:rFonts w:ascii="Arial" w:hAnsi="Arial" w:cs="Arial"/>
          <w:sz w:val="20"/>
          <w:szCs w:val="20"/>
        </w:rPr>
      </w:pPr>
      <w:r w:rsidRPr="00207EA4">
        <w:rPr>
          <w:rFonts w:ascii="Arial" w:hAnsi="Arial" w:cs="Arial"/>
          <w:sz w:val="20"/>
          <w:szCs w:val="20"/>
        </w:rPr>
        <w:t xml:space="preserve">We do have a limited number </w:t>
      </w:r>
      <w:r w:rsidR="000B4437">
        <w:rPr>
          <w:rFonts w:ascii="Arial" w:hAnsi="Arial" w:cs="Arial"/>
          <w:sz w:val="20"/>
          <w:szCs w:val="20"/>
        </w:rPr>
        <w:t xml:space="preserve">of </w:t>
      </w:r>
      <w:r w:rsidRPr="00207EA4">
        <w:rPr>
          <w:rFonts w:ascii="Arial" w:hAnsi="Arial" w:cs="Arial"/>
          <w:sz w:val="20"/>
          <w:szCs w:val="20"/>
        </w:rPr>
        <w:t>zero tolerances. These are things we will not accept as an organization:</w:t>
      </w:r>
      <w:r w:rsidR="00DD6084">
        <w:rPr>
          <w:rFonts w:ascii="Arial" w:hAnsi="Arial" w:cs="Arial"/>
          <w:sz w:val="20"/>
          <w:szCs w:val="20"/>
        </w:rPr>
        <w:t xml:space="preserve"> </w:t>
      </w:r>
    </w:p>
    <w:p w:rsidR="00F74C8A" w:rsidRPr="00F74C8A" w:rsidRDefault="00D61911" w:rsidP="000B4437">
      <w:pPr>
        <w:pStyle w:val="ListParagraph"/>
        <w:numPr>
          <w:ilvl w:val="0"/>
          <w:numId w:val="41"/>
        </w:numPr>
        <w:spacing w:line="360" w:lineRule="auto"/>
        <w:ind w:left="714" w:hanging="357"/>
        <w:rPr>
          <w:rFonts w:ascii="Arial" w:hAnsi="Arial" w:cs="Arial"/>
          <w:sz w:val="20"/>
          <w:szCs w:val="20"/>
        </w:rPr>
      </w:pPr>
      <w:r w:rsidRPr="00F74C8A">
        <w:rPr>
          <w:rFonts w:ascii="Arial" w:hAnsi="Arial" w:cs="Arial"/>
          <w:sz w:val="20"/>
          <w:szCs w:val="20"/>
        </w:rPr>
        <w:t>fatalities within our scope of influence</w:t>
      </w:r>
      <w:r w:rsidR="00DD6084" w:rsidRPr="00F74C8A">
        <w:rPr>
          <w:rFonts w:ascii="Arial" w:hAnsi="Arial" w:cs="Arial"/>
          <w:sz w:val="20"/>
          <w:szCs w:val="20"/>
        </w:rPr>
        <w:t xml:space="preserve"> </w:t>
      </w:r>
    </w:p>
    <w:p w:rsidR="00F74C8A" w:rsidRPr="00F74C8A" w:rsidRDefault="00D61911" w:rsidP="000B4437">
      <w:pPr>
        <w:pStyle w:val="ListParagraph"/>
        <w:numPr>
          <w:ilvl w:val="0"/>
          <w:numId w:val="41"/>
        </w:numPr>
        <w:spacing w:line="360" w:lineRule="auto"/>
        <w:ind w:left="714" w:hanging="357"/>
        <w:rPr>
          <w:rFonts w:ascii="Arial" w:hAnsi="Arial" w:cs="Arial"/>
          <w:sz w:val="20"/>
          <w:szCs w:val="20"/>
        </w:rPr>
      </w:pPr>
      <w:r w:rsidRPr="00F74C8A">
        <w:rPr>
          <w:rFonts w:ascii="Arial" w:hAnsi="Arial" w:cs="Arial"/>
          <w:sz w:val="20"/>
          <w:szCs w:val="20"/>
        </w:rPr>
        <w:t xml:space="preserve">serious injuries as a consequence of negligence </w:t>
      </w:r>
    </w:p>
    <w:p w:rsidR="000B4437" w:rsidRPr="000B4437" w:rsidRDefault="00D61911" w:rsidP="000B4437">
      <w:pPr>
        <w:pStyle w:val="ListParagraph"/>
        <w:numPr>
          <w:ilvl w:val="0"/>
          <w:numId w:val="41"/>
        </w:numPr>
        <w:spacing w:line="240" w:lineRule="auto"/>
        <w:ind w:left="714" w:hanging="357"/>
        <w:rPr>
          <w:rFonts w:ascii="Arial" w:hAnsi="Arial" w:cs="Arial"/>
          <w:sz w:val="20"/>
          <w:szCs w:val="20"/>
        </w:rPr>
      </w:pPr>
      <w:proofErr w:type="gramStart"/>
      <w:r w:rsidRPr="00F74C8A">
        <w:rPr>
          <w:rFonts w:ascii="Arial" w:hAnsi="Arial" w:cs="Arial"/>
          <w:sz w:val="20"/>
          <w:szCs w:val="20"/>
        </w:rPr>
        <w:t>poor</w:t>
      </w:r>
      <w:proofErr w:type="gramEnd"/>
      <w:r w:rsidRPr="00F74C8A">
        <w:rPr>
          <w:rFonts w:ascii="Arial" w:hAnsi="Arial" w:cs="Arial"/>
          <w:sz w:val="20"/>
          <w:szCs w:val="20"/>
        </w:rPr>
        <w:t xml:space="preserve"> behaviours including systemic bullying or culture of intimidation that impact on the well-being of our members, volunteers and staff</w:t>
      </w:r>
      <w:r w:rsidR="00C301B9" w:rsidRPr="00F74C8A">
        <w:rPr>
          <w:rFonts w:ascii="Arial" w:hAnsi="Arial" w:cs="Arial"/>
          <w:sz w:val="20"/>
          <w:szCs w:val="20"/>
        </w:rPr>
        <w:t>.</w:t>
      </w:r>
    </w:p>
    <w:p w:rsidR="00D53421" w:rsidRPr="00A82FDE" w:rsidRDefault="00D53421" w:rsidP="00207EA4">
      <w:pPr>
        <w:pStyle w:val="GGA2"/>
        <w:rPr>
          <w:color w:val="0033A1"/>
        </w:rPr>
      </w:pPr>
      <w:r w:rsidRPr="00A82FDE">
        <w:rPr>
          <w:color w:val="0033A1"/>
        </w:rPr>
        <w:t>Why do we manage operational risks?</w:t>
      </w:r>
    </w:p>
    <w:p w:rsidR="00D53421" w:rsidRPr="00F74C8A" w:rsidRDefault="00D53421" w:rsidP="00F74C8A">
      <w:pPr>
        <w:pStyle w:val="ListParagraph"/>
        <w:numPr>
          <w:ilvl w:val="0"/>
          <w:numId w:val="42"/>
        </w:numPr>
        <w:rPr>
          <w:rFonts w:ascii="Arial" w:hAnsi="Arial" w:cs="Arial"/>
          <w:sz w:val="20"/>
          <w:szCs w:val="20"/>
          <w:lang w:val="en-US"/>
        </w:rPr>
      </w:pPr>
      <w:r w:rsidRPr="00F74C8A">
        <w:rPr>
          <w:rFonts w:ascii="Arial" w:hAnsi="Arial" w:cs="Arial"/>
          <w:sz w:val="20"/>
          <w:szCs w:val="20"/>
          <w:lang w:val="en-US"/>
        </w:rPr>
        <w:lastRenderedPageBreak/>
        <w:t>To keep us a viable and highly respected girl organisation (financial, reputation, privacy, data security, social media)</w:t>
      </w:r>
    </w:p>
    <w:p w:rsidR="00D53421" w:rsidRPr="00F74C8A" w:rsidRDefault="00D92C7A" w:rsidP="00F74C8A">
      <w:pPr>
        <w:pStyle w:val="ListParagraph"/>
        <w:numPr>
          <w:ilvl w:val="0"/>
          <w:numId w:val="42"/>
        </w:numPr>
        <w:rPr>
          <w:rFonts w:ascii="Arial" w:hAnsi="Arial" w:cs="Arial"/>
          <w:sz w:val="20"/>
          <w:szCs w:val="20"/>
          <w:lang w:val="en-US"/>
        </w:rPr>
      </w:pPr>
      <w:r w:rsidRPr="00F74C8A">
        <w:rPr>
          <w:rFonts w:ascii="Arial" w:hAnsi="Arial" w:cs="Arial"/>
          <w:sz w:val="20"/>
          <w:szCs w:val="20"/>
          <w:lang w:val="en-US"/>
        </w:rPr>
        <w:t xml:space="preserve">For our own physical and psychological </w:t>
      </w:r>
      <w:r w:rsidR="00D53421" w:rsidRPr="00F74C8A">
        <w:rPr>
          <w:rFonts w:ascii="Arial" w:hAnsi="Arial" w:cs="Arial"/>
          <w:sz w:val="20"/>
          <w:szCs w:val="20"/>
          <w:lang w:val="en-US"/>
        </w:rPr>
        <w:t>safety (Reputation, WHS)</w:t>
      </w:r>
    </w:p>
    <w:p w:rsidR="00D53421" w:rsidRPr="00F74C8A" w:rsidRDefault="00D53421" w:rsidP="00F74C8A">
      <w:pPr>
        <w:pStyle w:val="ListParagraph"/>
        <w:numPr>
          <w:ilvl w:val="0"/>
          <w:numId w:val="42"/>
        </w:numPr>
        <w:rPr>
          <w:rFonts w:ascii="Arial" w:hAnsi="Arial" w:cs="Arial"/>
          <w:sz w:val="20"/>
          <w:szCs w:val="20"/>
          <w:lang w:val="en-US"/>
        </w:rPr>
      </w:pPr>
      <w:r w:rsidRPr="00F74C8A">
        <w:rPr>
          <w:rFonts w:ascii="Arial" w:hAnsi="Arial" w:cs="Arial"/>
          <w:sz w:val="20"/>
          <w:szCs w:val="20"/>
          <w:lang w:val="en-US"/>
        </w:rPr>
        <w:t>To grow competent leaders in your District and Region</w:t>
      </w:r>
    </w:p>
    <w:p w:rsidR="00D53421" w:rsidRPr="00F74C8A" w:rsidRDefault="00D53421" w:rsidP="00F74C8A">
      <w:pPr>
        <w:pStyle w:val="ListParagraph"/>
        <w:numPr>
          <w:ilvl w:val="0"/>
          <w:numId w:val="42"/>
        </w:numPr>
        <w:rPr>
          <w:rFonts w:ascii="Arial" w:hAnsi="Arial" w:cs="Arial"/>
          <w:sz w:val="20"/>
          <w:szCs w:val="20"/>
          <w:lang w:val="en-US"/>
        </w:rPr>
      </w:pPr>
      <w:r w:rsidRPr="00F74C8A">
        <w:rPr>
          <w:rFonts w:ascii="Arial" w:hAnsi="Arial" w:cs="Arial"/>
          <w:sz w:val="20"/>
          <w:szCs w:val="20"/>
          <w:lang w:val="en-US"/>
        </w:rPr>
        <w:t>For the safety of the girls (Child Protection, WHS)</w:t>
      </w:r>
    </w:p>
    <w:p w:rsidR="00DD6084" w:rsidRDefault="00F74C8A" w:rsidP="00207EA4">
      <w:pPr>
        <w:pStyle w:val="ListParagraph"/>
        <w:numPr>
          <w:ilvl w:val="0"/>
          <w:numId w:val="42"/>
        </w:numPr>
        <w:rPr>
          <w:rFonts w:ascii="Arial" w:hAnsi="Arial" w:cs="Arial"/>
          <w:sz w:val="20"/>
          <w:szCs w:val="20"/>
        </w:rPr>
      </w:pPr>
      <w:r>
        <w:rPr>
          <w:rFonts w:ascii="Arial" w:hAnsi="Arial" w:cs="Arial"/>
          <w:sz w:val="20"/>
          <w:szCs w:val="20"/>
        </w:rPr>
        <w:t>To meet legal requirements</w:t>
      </w:r>
      <w:r w:rsidR="00D53421" w:rsidRPr="00F74C8A">
        <w:rPr>
          <w:rFonts w:ascii="Arial" w:hAnsi="Arial" w:cs="Arial"/>
          <w:sz w:val="20"/>
          <w:szCs w:val="20"/>
        </w:rPr>
        <w:t xml:space="preserve"> of ‘reasonable care’ (WHS Act 2011)</w:t>
      </w:r>
    </w:p>
    <w:p w:rsidR="000B4437" w:rsidRPr="00F74C8A" w:rsidRDefault="000B4437" w:rsidP="000B4437">
      <w:pPr>
        <w:pStyle w:val="ListParagraph"/>
        <w:rPr>
          <w:rFonts w:ascii="Arial" w:hAnsi="Arial" w:cs="Arial"/>
          <w:sz w:val="20"/>
          <w:szCs w:val="20"/>
        </w:rPr>
      </w:pPr>
    </w:p>
    <w:p w:rsidR="00D53421" w:rsidRPr="00A82FDE" w:rsidRDefault="00D53421" w:rsidP="00207EA4">
      <w:pPr>
        <w:pStyle w:val="GGA2"/>
        <w:rPr>
          <w:color w:val="0033A1"/>
        </w:rPr>
      </w:pPr>
      <w:r w:rsidRPr="00A82FDE">
        <w:rPr>
          <w:color w:val="0033A1"/>
        </w:rPr>
        <w:t>What are the main risks to Districts and Regions?</w:t>
      </w:r>
    </w:p>
    <w:p w:rsidR="00D53421" w:rsidRPr="00207EA4" w:rsidRDefault="00D53421" w:rsidP="00207EA4">
      <w:pPr>
        <w:pStyle w:val="ListParagraph"/>
        <w:numPr>
          <w:ilvl w:val="0"/>
          <w:numId w:val="34"/>
        </w:numPr>
        <w:rPr>
          <w:rFonts w:ascii="Arial" w:hAnsi="Arial" w:cs="Arial"/>
          <w:sz w:val="20"/>
          <w:szCs w:val="20"/>
        </w:rPr>
      </w:pPr>
      <w:r w:rsidRPr="00207EA4">
        <w:rPr>
          <w:rFonts w:ascii="Arial" w:hAnsi="Arial" w:cs="Arial"/>
          <w:sz w:val="20"/>
          <w:szCs w:val="20"/>
        </w:rPr>
        <w:t>Safety</w:t>
      </w:r>
    </w:p>
    <w:p w:rsidR="00D53421" w:rsidRPr="00207EA4" w:rsidRDefault="00D53421" w:rsidP="00207EA4">
      <w:pPr>
        <w:pStyle w:val="ListParagraph"/>
        <w:numPr>
          <w:ilvl w:val="0"/>
          <w:numId w:val="34"/>
        </w:numPr>
        <w:rPr>
          <w:rFonts w:ascii="Arial" w:hAnsi="Arial" w:cs="Arial"/>
          <w:sz w:val="20"/>
          <w:szCs w:val="20"/>
        </w:rPr>
      </w:pPr>
      <w:r w:rsidRPr="00207EA4">
        <w:rPr>
          <w:rFonts w:ascii="Arial" w:hAnsi="Arial" w:cs="Arial"/>
          <w:sz w:val="20"/>
          <w:szCs w:val="20"/>
        </w:rPr>
        <w:t>Financial</w:t>
      </w:r>
    </w:p>
    <w:p w:rsidR="00436AC5" w:rsidRPr="00207EA4" w:rsidRDefault="00D53421" w:rsidP="00436AC5">
      <w:pPr>
        <w:pStyle w:val="ListParagraph"/>
        <w:numPr>
          <w:ilvl w:val="0"/>
          <w:numId w:val="33"/>
        </w:numPr>
        <w:rPr>
          <w:rFonts w:ascii="Arial" w:hAnsi="Arial" w:cs="Arial"/>
          <w:sz w:val="20"/>
          <w:szCs w:val="20"/>
        </w:rPr>
      </w:pPr>
      <w:r w:rsidRPr="00207EA4">
        <w:rPr>
          <w:rFonts w:ascii="Arial" w:hAnsi="Arial" w:cs="Arial"/>
          <w:sz w:val="20"/>
          <w:szCs w:val="20"/>
        </w:rPr>
        <w:t>Unqualified leaders</w:t>
      </w:r>
    </w:p>
    <w:p w:rsidR="00436AC5" w:rsidRPr="00207EA4" w:rsidRDefault="00D53421" w:rsidP="00436AC5">
      <w:pPr>
        <w:pStyle w:val="ListParagraph"/>
        <w:numPr>
          <w:ilvl w:val="0"/>
          <w:numId w:val="33"/>
        </w:numPr>
        <w:rPr>
          <w:rFonts w:ascii="Arial" w:hAnsi="Arial" w:cs="Arial"/>
          <w:sz w:val="20"/>
          <w:szCs w:val="20"/>
        </w:rPr>
      </w:pPr>
      <w:r w:rsidRPr="00207EA4">
        <w:rPr>
          <w:rFonts w:ascii="Arial" w:hAnsi="Arial" w:cs="Arial"/>
          <w:sz w:val="20"/>
          <w:szCs w:val="20"/>
        </w:rPr>
        <w:t>Non approvals for events</w:t>
      </w:r>
    </w:p>
    <w:p w:rsidR="00D53421" w:rsidRDefault="00D53421" w:rsidP="00436AC5">
      <w:pPr>
        <w:pStyle w:val="ListParagraph"/>
        <w:numPr>
          <w:ilvl w:val="0"/>
          <w:numId w:val="33"/>
        </w:numPr>
        <w:rPr>
          <w:rFonts w:ascii="Arial" w:hAnsi="Arial" w:cs="Arial"/>
          <w:sz w:val="20"/>
          <w:szCs w:val="20"/>
        </w:rPr>
      </w:pPr>
      <w:r w:rsidRPr="00207EA4">
        <w:rPr>
          <w:rFonts w:ascii="Arial" w:hAnsi="Arial" w:cs="Arial"/>
          <w:sz w:val="20"/>
          <w:szCs w:val="20"/>
        </w:rPr>
        <w:t xml:space="preserve">Reputation </w:t>
      </w:r>
    </w:p>
    <w:p w:rsidR="00D53421" w:rsidRPr="00207EA4" w:rsidRDefault="00D53421" w:rsidP="00207EA4">
      <w:pPr>
        <w:pStyle w:val="ListParagraph"/>
        <w:numPr>
          <w:ilvl w:val="0"/>
          <w:numId w:val="36"/>
        </w:numPr>
        <w:rPr>
          <w:rFonts w:ascii="Arial" w:hAnsi="Arial" w:cs="Arial"/>
          <w:sz w:val="20"/>
          <w:szCs w:val="20"/>
        </w:rPr>
      </w:pPr>
      <w:r w:rsidRPr="00207EA4">
        <w:rPr>
          <w:rFonts w:ascii="Arial" w:hAnsi="Arial" w:cs="Arial"/>
          <w:sz w:val="20"/>
          <w:szCs w:val="20"/>
        </w:rPr>
        <w:t>Child protection</w:t>
      </w:r>
    </w:p>
    <w:p w:rsidR="00D53421" w:rsidRPr="00207EA4" w:rsidRDefault="00D53421" w:rsidP="00207EA4">
      <w:pPr>
        <w:pStyle w:val="ListParagraph"/>
        <w:numPr>
          <w:ilvl w:val="0"/>
          <w:numId w:val="36"/>
        </w:numPr>
        <w:rPr>
          <w:rFonts w:ascii="Arial" w:hAnsi="Arial" w:cs="Arial"/>
          <w:sz w:val="20"/>
          <w:szCs w:val="20"/>
        </w:rPr>
      </w:pPr>
      <w:r w:rsidRPr="00207EA4">
        <w:rPr>
          <w:rFonts w:ascii="Arial" w:hAnsi="Arial" w:cs="Arial"/>
          <w:sz w:val="20"/>
          <w:szCs w:val="20"/>
        </w:rPr>
        <w:t>Intellectual property</w:t>
      </w:r>
    </w:p>
    <w:p w:rsidR="00D53421" w:rsidRPr="00207EA4" w:rsidRDefault="00D53421" w:rsidP="00207EA4">
      <w:pPr>
        <w:pStyle w:val="ListParagraph"/>
        <w:numPr>
          <w:ilvl w:val="0"/>
          <w:numId w:val="36"/>
        </w:numPr>
        <w:rPr>
          <w:rFonts w:ascii="Arial" w:hAnsi="Arial" w:cs="Arial"/>
          <w:sz w:val="20"/>
          <w:szCs w:val="20"/>
        </w:rPr>
      </w:pPr>
      <w:r w:rsidRPr="00207EA4">
        <w:rPr>
          <w:rFonts w:ascii="Arial" w:hAnsi="Arial" w:cs="Arial"/>
          <w:sz w:val="20"/>
          <w:szCs w:val="20"/>
        </w:rPr>
        <w:t>Social media</w:t>
      </w:r>
    </w:p>
    <w:p w:rsidR="00D53421" w:rsidRDefault="00D34345" w:rsidP="00207EA4">
      <w:pPr>
        <w:pStyle w:val="ListParagraph"/>
        <w:numPr>
          <w:ilvl w:val="0"/>
          <w:numId w:val="36"/>
        </w:numPr>
        <w:rPr>
          <w:rFonts w:ascii="Arial" w:hAnsi="Arial" w:cs="Arial"/>
          <w:sz w:val="20"/>
          <w:szCs w:val="20"/>
        </w:rPr>
      </w:pPr>
      <w:r w:rsidRPr="00207EA4">
        <w:rPr>
          <w:rFonts w:ascii="Arial" w:hAnsi="Arial" w:cs="Arial"/>
          <w:sz w:val="20"/>
          <w:szCs w:val="20"/>
        </w:rPr>
        <w:t>Property</w:t>
      </w:r>
    </w:p>
    <w:p w:rsidR="00DD6084" w:rsidRPr="00207EA4" w:rsidRDefault="00DD6084" w:rsidP="00436AC5">
      <w:pPr>
        <w:pStyle w:val="GGA2"/>
        <w:rPr>
          <w:rFonts w:ascii="Arial" w:hAnsi="Arial" w:cs="Arial"/>
          <w:sz w:val="20"/>
          <w:szCs w:val="20"/>
        </w:rPr>
      </w:pPr>
    </w:p>
    <w:p w:rsidR="00D34345" w:rsidRPr="00A82FDE" w:rsidRDefault="00D34345" w:rsidP="00207EA4">
      <w:pPr>
        <w:pStyle w:val="GGA2"/>
        <w:rPr>
          <w:color w:val="0033A1"/>
        </w:rPr>
      </w:pPr>
      <w:r w:rsidRPr="00A82FDE">
        <w:rPr>
          <w:color w:val="0033A1"/>
        </w:rPr>
        <w:t xml:space="preserve">What documents are there to support </w:t>
      </w:r>
      <w:r w:rsidR="00F74C8A">
        <w:rPr>
          <w:color w:val="0033A1"/>
        </w:rPr>
        <w:t>M</w:t>
      </w:r>
      <w:r w:rsidRPr="00A82FDE">
        <w:rPr>
          <w:color w:val="0033A1"/>
        </w:rPr>
        <w:t>anagers make sound decisions?</w:t>
      </w:r>
    </w:p>
    <w:p w:rsidR="00D34345" w:rsidRPr="00207EA4" w:rsidRDefault="00D34345" w:rsidP="000B4437">
      <w:pPr>
        <w:spacing w:after="120"/>
        <w:ind w:left="851" w:hanging="425"/>
        <w:rPr>
          <w:rFonts w:ascii="Arial" w:hAnsi="Arial" w:cs="Arial"/>
          <w:sz w:val="20"/>
          <w:szCs w:val="20"/>
        </w:rPr>
      </w:pPr>
      <w:r w:rsidRPr="00207EA4">
        <w:rPr>
          <w:rFonts w:ascii="Arial" w:hAnsi="Arial" w:cs="Arial"/>
          <w:sz w:val="20"/>
          <w:szCs w:val="20"/>
        </w:rPr>
        <w:t>1.</w:t>
      </w:r>
      <w:r w:rsidRPr="00207EA4">
        <w:rPr>
          <w:rFonts w:ascii="Arial" w:hAnsi="Arial" w:cs="Arial"/>
          <w:sz w:val="20"/>
          <w:szCs w:val="20"/>
        </w:rPr>
        <w:tab/>
        <w:t xml:space="preserve">Girl Guides Australia Policy, Procedure and Guidelines </w:t>
      </w:r>
    </w:p>
    <w:p w:rsidR="00D34345" w:rsidRPr="00207EA4" w:rsidRDefault="00D34345" w:rsidP="000B4437">
      <w:pPr>
        <w:spacing w:after="120"/>
        <w:ind w:left="851" w:hanging="425"/>
        <w:rPr>
          <w:rFonts w:ascii="Arial" w:hAnsi="Arial" w:cs="Arial"/>
          <w:sz w:val="20"/>
          <w:szCs w:val="20"/>
        </w:rPr>
      </w:pPr>
      <w:r w:rsidRPr="00207EA4">
        <w:rPr>
          <w:rFonts w:ascii="Arial" w:hAnsi="Arial" w:cs="Arial"/>
          <w:sz w:val="20"/>
          <w:szCs w:val="20"/>
        </w:rPr>
        <w:t>2.</w:t>
      </w:r>
      <w:r w:rsidRPr="00207EA4">
        <w:rPr>
          <w:rFonts w:ascii="Arial" w:hAnsi="Arial" w:cs="Arial"/>
          <w:sz w:val="20"/>
          <w:szCs w:val="20"/>
        </w:rPr>
        <w:tab/>
      </w:r>
      <w:r w:rsidRPr="00207EA4">
        <w:rPr>
          <w:rFonts w:ascii="Arial" w:hAnsi="Arial" w:cs="Arial"/>
          <w:i/>
          <w:sz w:val="20"/>
          <w:szCs w:val="20"/>
        </w:rPr>
        <w:t>Guide</w:t>
      </w:r>
      <w:r w:rsidRPr="00207EA4">
        <w:rPr>
          <w:rFonts w:ascii="Arial" w:hAnsi="Arial" w:cs="Arial"/>
          <w:sz w:val="20"/>
          <w:szCs w:val="20"/>
        </w:rPr>
        <w:t xml:space="preserve"> </w:t>
      </w:r>
      <w:r w:rsidRPr="00207EA4">
        <w:rPr>
          <w:rFonts w:ascii="Arial" w:hAnsi="Arial" w:cs="Arial"/>
          <w:i/>
          <w:sz w:val="20"/>
          <w:szCs w:val="20"/>
        </w:rPr>
        <w:t>Lines</w:t>
      </w:r>
    </w:p>
    <w:p w:rsidR="00D34345" w:rsidRPr="00207EA4" w:rsidRDefault="00D34345" w:rsidP="000B4437">
      <w:pPr>
        <w:spacing w:after="120"/>
        <w:ind w:left="851" w:hanging="425"/>
        <w:rPr>
          <w:rFonts w:ascii="Arial" w:hAnsi="Arial" w:cs="Arial"/>
          <w:sz w:val="20"/>
          <w:szCs w:val="20"/>
        </w:rPr>
      </w:pPr>
      <w:r w:rsidRPr="00207EA4">
        <w:rPr>
          <w:rFonts w:ascii="Arial" w:hAnsi="Arial" w:cs="Arial"/>
          <w:sz w:val="20"/>
          <w:szCs w:val="20"/>
        </w:rPr>
        <w:t>3.</w:t>
      </w:r>
      <w:r w:rsidRPr="00207EA4">
        <w:rPr>
          <w:rFonts w:ascii="Arial" w:hAnsi="Arial" w:cs="Arial"/>
          <w:sz w:val="20"/>
          <w:szCs w:val="20"/>
        </w:rPr>
        <w:tab/>
        <w:t>GGA Risk Assessment Plan for Operational Risk (ORP)</w:t>
      </w:r>
    </w:p>
    <w:p w:rsidR="00D34345" w:rsidRPr="00207EA4" w:rsidRDefault="000B4437" w:rsidP="000B4437">
      <w:pPr>
        <w:spacing w:after="120"/>
        <w:ind w:firstLine="426"/>
        <w:rPr>
          <w:rFonts w:ascii="Arial" w:hAnsi="Arial" w:cs="Arial"/>
          <w:sz w:val="20"/>
          <w:szCs w:val="20"/>
        </w:rPr>
      </w:pPr>
      <w:r>
        <w:rPr>
          <w:rFonts w:ascii="Arial" w:hAnsi="Arial" w:cs="Arial"/>
          <w:sz w:val="20"/>
          <w:szCs w:val="20"/>
        </w:rPr>
        <w:t>4</w:t>
      </w:r>
      <w:r w:rsidR="00D34345" w:rsidRPr="00207EA4">
        <w:rPr>
          <w:rFonts w:ascii="Arial" w:hAnsi="Arial" w:cs="Arial"/>
          <w:sz w:val="20"/>
          <w:szCs w:val="20"/>
        </w:rPr>
        <w:t>.</w:t>
      </w:r>
      <w:r w:rsidR="00D34345" w:rsidRPr="00207EA4">
        <w:rPr>
          <w:rFonts w:ascii="Arial" w:hAnsi="Arial" w:cs="Arial"/>
          <w:sz w:val="20"/>
          <w:szCs w:val="20"/>
        </w:rPr>
        <w:tab/>
        <w:t>ISO 31000:2009 Risk Management Standard</w:t>
      </w:r>
    </w:p>
    <w:p w:rsidR="00D34345" w:rsidRPr="00A82FDE" w:rsidRDefault="00D34345" w:rsidP="00207EA4">
      <w:pPr>
        <w:pStyle w:val="GGA2"/>
        <w:rPr>
          <w:color w:val="0033A1"/>
        </w:rPr>
      </w:pPr>
      <w:r w:rsidRPr="00A82FDE">
        <w:rPr>
          <w:color w:val="0033A1"/>
        </w:rPr>
        <w:t>When do I complete the Risk Assessment for Operational Risks (ORP)?</w:t>
      </w:r>
    </w:p>
    <w:p w:rsidR="00D34345" w:rsidRPr="00207EA4" w:rsidRDefault="00D34345" w:rsidP="00D34345">
      <w:pPr>
        <w:pStyle w:val="Heading2"/>
        <w:rPr>
          <w:rFonts w:ascii="Arial" w:eastAsiaTheme="minorHAnsi" w:hAnsi="Arial" w:cs="Arial"/>
          <w:b w:val="0"/>
          <w:bCs w:val="0"/>
          <w:color w:val="auto"/>
          <w:sz w:val="20"/>
          <w:szCs w:val="20"/>
          <w:lang w:eastAsia="en-US"/>
        </w:rPr>
      </w:pPr>
      <w:r w:rsidRPr="00207EA4">
        <w:rPr>
          <w:rFonts w:ascii="Arial" w:eastAsiaTheme="minorHAnsi" w:hAnsi="Arial" w:cs="Arial"/>
          <w:b w:val="0"/>
          <w:bCs w:val="0"/>
          <w:color w:val="auto"/>
          <w:sz w:val="20"/>
          <w:szCs w:val="20"/>
          <w:lang w:eastAsia="en-US"/>
        </w:rPr>
        <w:lastRenderedPageBreak/>
        <w:t>Every</w:t>
      </w:r>
      <w:r w:rsidR="000B4437">
        <w:rPr>
          <w:rFonts w:ascii="Arial" w:eastAsiaTheme="minorHAnsi" w:hAnsi="Arial" w:cs="Arial"/>
          <w:b w:val="0"/>
          <w:bCs w:val="0"/>
          <w:color w:val="auto"/>
          <w:sz w:val="20"/>
          <w:szCs w:val="20"/>
          <w:lang w:eastAsia="en-US"/>
        </w:rPr>
        <w:t xml:space="preserve"> Region and District is encouraged</w:t>
      </w:r>
      <w:r w:rsidRPr="00207EA4">
        <w:rPr>
          <w:rFonts w:ascii="Arial" w:eastAsiaTheme="minorHAnsi" w:hAnsi="Arial" w:cs="Arial"/>
          <w:b w:val="0"/>
          <w:bCs w:val="0"/>
          <w:color w:val="auto"/>
          <w:sz w:val="20"/>
          <w:szCs w:val="20"/>
          <w:lang w:eastAsia="en-US"/>
        </w:rPr>
        <w:t xml:space="preserve"> to complete a health check once a year with its teams i.e. support group, committee members. This health check identifies critical issues that the Region and District will need to address for the forthcoming period of time ie over the next 6 months.</w:t>
      </w:r>
    </w:p>
    <w:p w:rsidR="00D34345" w:rsidRDefault="00D34345" w:rsidP="00D34345">
      <w:pPr>
        <w:spacing w:before="240" w:after="240"/>
        <w:outlineLvl w:val="1"/>
        <w:rPr>
          <w:rFonts w:ascii="Arial" w:hAnsi="Arial" w:cs="Arial"/>
          <w:sz w:val="20"/>
          <w:szCs w:val="20"/>
        </w:rPr>
      </w:pPr>
      <w:r w:rsidRPr="00207EA4">
        <w:rPr>
          <w:rFonts w:ascii="Arial" w:hAnsi="Arial" w:cs="Arial"/>
          <w:sz w:val="20"/>
          <w:szCs w:val="20"/>
        </w:rPr>
        <w:t xml:space="preserve">Every time a significant decision needs to be made ie opening a unit, closing a unit, outlaying a large sum of money for a project, retiring a leader. </w:t>
      </w:r>
    </w:p>
    <w:p w:rsidR="000B4437" w:rsidRDefault="000B4437" w:rsidP="00D34345">
      <w:pPr>
        <w:spacing w:before="240" w:after="240"/>
        <w:outlineLvl w:val="1"/>
        <w:rPr>
          <w:rFonts w:ascii="Arial" w:hAnsi="Arial" w:cs="Arial"/>
          <w:sz w:val="20"/>
          <w:szCs w:val="20"/>
        </w:rPr>
      </w:pPr>
    </w:p>
    <w:p w:rsidR="00AD6F28" w:rsidRPr="00A82FDE" w:rsidRDefault="00AD6F28" w:rsidP="00207EA4">
      <w:pPr>
        <w:pStyle w:val="GGA2"/>
        <w:rPr>
          <w:color w:val="0033A1"/>
        </w:rPr>
      </w:pPr>
      <w:r w:rsidRPr="00A82FDE">
        <w:rPr>
          <w:color w:val="0033A1"/>
        </w:rPr>
        <w:t xml:space="preserve">How do we manage </w:t>
      </w:r>
      <w:r w:rsidR="00BC4331" w:rsidRPr="00A82FDE">
        <w:rPr>
          <w:color w:val="0033A1"/>
        </w:rPr>
        <w:t xml:space="preserve">the </w:t>
      </w:r>
      <w:r w:rsidRPr="00A82FDE">
        <w:rPr>
          <w:color w:val="0033A1"/>
        </w:rPr>
        <w:t>risk?</w:t>
      </w:r>
    </w:p>
    <w:p w:rsidR="00AD6F28" w:rsidRPr="00207EA4" w:rsidRDefault="00AD6F28" w:rsidP="00DD6084">
      <w:pPr>
        <w:spacing w:line="360" w:lineRule="auto"/>
        <w:rPr>
          <w:rFonts w:ascii="Arial" w:hAnsi="Arial" w:cs="Arial"/>
          <w:b/>
          <w:bCs/>
          <w:sz w:val="20"/>
          <w:szCs w:val="20"/>
          <w:lang w:val="en-US"/>
        </w:rPr>
      </w:pPr>
      <w:r w:rsidRPr="00207EA4">
        <w:rPr>
          <w:rFonts w:ascii="Arial" w:hAnsi="Arial" w:cs="Arial"/>
          <w:sz w:val="20"/>
          <w:szCs w:val="20"/>
          <w:lang w:val="en-US"/>
        </w:rPr>
        <w:t>We use a process called risk assessment which:</w:t>
      </w:r>
    </w:p>
    <w:p w:rsidR="00AD6F28" w:rsidRPr="00207EA4" w:rsidRDefault="002512D5" w:rsidP="00DD6084">
      <w:pPr>
        <w:pStyle w:val="ListParagraph"/>
        <w:numPr>
          <w:ilvl w:val="0"/>
          <w:numId w:val="40"/>
        </w:numPr>
        <w:spacing w:line="360" w:lineRule="auto"/>
        <w:rPr>
          <w:rFonts w:ascii="Arial" w:hAnsi="Arial" w:cs="Arial"/>
          <w:b/>
          <w:bCs/>
          <w:sz w:val="20"/>
          <w:szCs w:val="20"/>
          <w:lang w:val="en-US"/>
        </w:rPr>
      </w:pPr>
      <w:r w:rsidRPr="00207EA4">
        <w:rPr>
          <w:rFonts w:ascii="Arial" w:hAnsi="Arial" w:cs="Arial"/>
          <w:sz w:val="20"/>
          <w:szCs w:val="20"/>
          <w:lang w:val="en-US"/>
        </w:rPr>
        <w:t>I</w:t>
      </w:r>
      <w:r w:rsidR="00AD6F28" w:rsidRPr="00207EA4">
        <w:rPr>
          <w:rFonts w:ascii="Arial" w:hAnsi="Arial" w:cs="Arial"/>
          <w:sz w:val="20"/>
          <w:szCs w:val="20"/>
          <w:lang w:val="en-US"/>
        </w:rPr>
        <w:t xml:space="preserve">dentifies the hazard, </w:t>
      </w:r>
    </w:p>
    <w:p w:rsidR="00AD6F28" w:rsidRPr="00207EA4" w:rsidRDefault="002512D5" w:rsidP="00DD6084">
      <w:pPr>
        <w:pStyle w:val="ListParagraph"/>
        <w:numPr>
          <w:ilvl w:val="0"/>
          <w:numId w:val="40"/>
        </w:numPr>
        <w:spacing w:line="360" w:lineRule="auto"/>
        <w:rPr>
          <w:rFonts w:ascii="Arial" w:hAnsi="Arial" w:cs="Arial"/>
          <w:b/>
          <w:bCs/>
          <w:sz w:val="20"/>
          <w:szCs w:val="20"/>
          <w:lang w:val="en-US"/>
        </w:rPr>
      </w:pPr>
      <w:r w:rsidRPr="00207EA4">
        <w:rPr>
          <w:rFonts w:ascii="Arial" w:hAnsi="Arial" w:cs="Arial"/>
          <w:sz w:val="20"/>
          <w:szCs w:val="20"/>
          <w:lang w:val="en-US"/>
        </w:rPr>
        <w:t>A</w:t>
      </w:r>
      <w:r w:rsidR="00AD6F28" w:rsidRPr="00207EA4">
        <w:rPr>
          <w:rFonts w:ascii="Arial" w:hAnsi="Arial" w:cs="Arial"/>
          <w:sz w:val="20"/>
          <w:szCs w:val="20"/>
          <w:lang w:val="en-US"/>
        </w:rPr>
        <w:t xml:space="preserve">ssesses the </w:t>
      </w:r>
      <w:r w:rsidR="00E434FB" w:rsidRPr="00207EA4">
        <w:rPr>
          <w:rFonts w:ascii="Arial" w:hAnsi="Arial" w:cs="Arial"/>
          <w:sz w:val="20"/>
          <w:szCs w:val="20"/>
          <w:lang w:val="en-US"/>
        </w:rPr>
        <w:t xml:space="preserve">initial </w:t>
      </w:r>
      <w:r w:rsidR="00AD6F28" w:rsidRPr="00207EA4">
        <w:rPr>
          <w:rFonts w:ascii="Arial" w:hAnsi="Arial" w:cs="Arial"/>
          <w:sz w:val="20"/>
          <w:szCs w:val="20"/>
          <w:lang w:val="en-US"/>
        </w:rPr>
        <w:t>risk of the hazard</w:t>
      </w:r>
    </w:p>
    <w:p w:rsidR="00E434FB" w:rsidRPr="00207EA4" w:rsidRDefault="00E434FB" w:rsidP="00DD6084">
      <w:pPr>
        <w:pStyle w:val="ListParagraph"/>
        <w:numPr>
          <w:ilvl w:val="0"/>
          <w:numId w:val="40"/>
        </w:numPr>
        <w:spacing w:line="360" w:lineRule="auto"/>
        <w:rPr>
          <w:rFonts w:ascii="Arial" w:hAnsi="Arial" w:cs="Arial"/>
          <w:b/>
          <w:bCs/>
          <w:sz w:val="20"/>
          <w:szCs w:val="20"/>
          <w:lang w:val="en-US"/>
        </w:rPr>
      </w:pPr>
      <w:r w:rsidRPr="00207EA4">
        <w:rPr>
          <w:rFonts w:ascii="Arial" w:hAnsi="Arial" w:cs="Arial"/>
          <w:sz w:val="20"/>
          <w:szCs w:val="20"/>
          <w:lang w:val="en-US"/>
        </w:rPr>
        <w:t xml:space="preserve">Select controls to manage the </w:t>
      </w:r>
      <w:r w:rsidR="00AD6F28" w:rsidRPr="00207EA4">
        <w:rPr>
          <w:rFonts w:ascii="Arial" w:hAnsi="Arial" w:cs="Arial"/>
          <w:sz w:val="20"/>
          <w:szCs w:val="20"/>
          <w:lang w:val="en-US"/>
        </w:rPr>
        <w:t>risk of the hazard</w:t>
      </w:r>
    </w:p>
    <w:p w:rsidR="00E434FB" w:rsidRPr="00207EA4" w:rsidRDefault="00E434FB" w:rsidP="00DD6084">
      <w:pPr>
        <w:pStyle w:val="ListParagraph"/>
        <w:numPr>
          <w:ilvl w:val="0"/>
          <w:numId w:val="40"/>
        </w:numPr>
        <w:spacing w:line="360" w:lineRule="auto"/>
        <w:rPr>
          <w:rFonts w:ascii="Arial" w:hAnsi="Arial" w:cs="Arial"/>
          <w:b/>
          <w:bCs/>
          <w:sz w:val="20"/>
          <w:szCs w:val="20"/>
          <w:lang w:val="en-US"/>
        </w:rPr>
      </w:pPr>
      <w:r w:rsidRPr="00207EA4">
        <w:rPr>
          <w:rFonts w:ascii="Arial" w:hAnsi="Arial" w:cs="Arial"/>
          <w:sz w:val="20"/>
          <w:szCs w:val="20"/>
          <w:lang w:val="en-US"/>
        </w:rPr>
        <w:t>Assesses the residual risk of the hazard</w:t>
      </w:r>
    </w:p>
    <w:p w:rsidR="00E20CDB" w:rsidRPr="00A82FDE" w:rsidRDefault="00353028" w:rsidP="0019269A">
      <w:pPr>
        <w:pStyle w:val="GGA4"/>
      </w:pPr>
      <w:r w:rsidRPr="00A82FDE">
        <w:t xml:space="preserve">Step 1: </w:t>
      </w:r>
      <w:r w:rsidR="00EE255F" w:rsidRPr="00A82FDE">
        <w:t>Iden</w:t>
      </w:r>
      <w:r w:rsidR="00E20CDB" w:rsidRPr="00A82FDE">
        <w:t xml:space="preserve">tify the Hazard </w:t>
      </w:r>
    </w:p>
    <w:p w:rsidR="00050CC2" w:rsidRPr="00A82FDE" w:rsidRDefault="00050CC2" w:rsidP="0019269A">
      <w:pPr>
        <w:pStyle w:val="GGA2"/>
        <w:rPr>
          <w:rFonts w:eastAsiaTheme="minorHAnsi"/>
          <w:color w:val="0033A1"/>
          <w:sz w:val="22"/>
        </w:rPr>
      </w:pPr>
      <w:r w:rsidRPr="00A82FDE">
        <w:rPr>
          <w:rFonts w:eastAsiaTheme="minorHAnsi"/>
          <w:color w:val="0033A1"/>
          <w:sz w:val="22"/>
        </w:rPr>
        <w:t>What are hazards and risk?</w:t>
      </w:r>
    </w:p>
    <w:p w:rsidR="00050CC2" w:rsidRDefault="00050CC2" w:rsidP="00436AC5">
      <w:pPr>
        <w:rPr>
          <w:rFonts w:ascii="Arial" w:hAnsi="Arial" w:cs="Arial"/>
          <w:sz w:val="20"/>
          <w:szCs w:val="20"/>
          <w:lang w:val="en-US"/>
        </w:rPr>
      </w:pPr>
      <w:r w:rsidRPr="00207EA4">
        <w:rPr>
          <w:rFonts w:ascii="Arial" w:hAnsi="Arial" w:cs="Arial"/>
          <w:sz w:val="20"/>
          <w:szCs w:val="20"/>
          <w:lang w:val="en-US"/>
        </w:rPr>
        <w:t xml:space="preserve">A hazard is anything in the workplace that has the potential to harm people. Under law, Girl Guides is considered a workplace. </w:t>
      </w:r>
    </w:p>
    <w:p w:rsidR="000B4437" w:rsidRPr="00207EA4" w:rsidRDefault="000B4437" w:rsidP="00436AC5">
      <w:pPr>
        <w:rPr>
          <w:rFonts w:ascii="Arial" w:hAnsi="Arial" w:cs="Arial"/>
          <w:sz w:val="20"/>
          <w:szCs w:val="20"/>
          <w:lang w:val="en-US"/>
        </w:rPr>
      </w:pPr>
    </w:p>
    <w:p w:rsidR="00E20CDB" w:rsidRDefault="00050CC2" w:rsidP="00436AC5">
      <w:pPr>
        <w:rPr>
          <w:rFonts w:ascii="Arial" w:hAnsi="Arial" w:cs="Arial"/>
          <w:sz w:val="20"/>
          <w:szCs w:val="20"/>
          <w:lang w:val="en-US"/>
        </w:rPr>
      </w:pPr>
      <w:r w:rsidRPr="00207EA4">
        <w:rPr>
          <w:rFonts w:ascii="Arial" w:hAnsi="Arial" w:cs="Arial"/>
          <w:sz w:val="20"/>
          <w:szCs w:val="20"/>
          <w:lang w:val="en-US"/>
        </w:rPr>
        <w:t>A risk arises when it's possible that a hazard will actually cause harm. The level of risk will depend on factors such as how often the activi</w:t>
      </w:r>
      <w:r w:rsidR="000B4437">
        <w:rPr>
          <w:rFonts w:ascii="Arial" w:hAnsi="Arial" w:cs="Arial"/>
          <w:sz w:val="20"/>
          <w:szCs w:val="20"/>
          <w:lang w:val="en-US"/>
        </w:rPr>
        <w:t>ty is done, the number of members or amount of money</w:t>
      </w:r>
      <w:r w:rsidRPr="00207EA4">
        <w:rPr>
          <w:rFonts w:ascii="Arial" w:hAnsi="Arial" w:cs="Arial"/>
          <w:sz w:val="20"/>
          <w:szCs w:val="20"/>
          <w:lang w:val="en-US"/>
        </w:rPr>
        <w:t xml:space="preserve"> invol</w:t>
      </w:r>
      <w:r w:rsidR="000B4437">
        <w:rPr>
          <w:rFonts w:ascii="Arial" w:hAnsi="Arial" w:cs="Arial"/>
          <w:sz w:val="20"/>
          <w:szCs w:val="20"/>
          <w:lang w:val="en-US"/>
        </w:rPr>
        <w:t>ved and how serious any consequences</w:t>
      </w:r>
      <w:r w:rsidRPr="00207EA4">
        <w:rPr>
          <w:rFonts w:ascii="Arial" w:hAnsi="Arial" w:cs="Arial"/>
          <w:sz w:val="20"/>
          <w:szCs w:val="20"/>
          <w:lang w:val="en-US"/>
        </w:rPr>
        <w:t xml:space="preserve"> that result could be.</w:t>
      </w:r>
    </w:p>
    <w:p w:rsidR="000B4437" w:rsidRDefault="000B4437" w:rsidP="00436AC5">
      <w:pPr>
        <w:rPr>
          <w:rFonts w:ascii="Arial" w:hAnsi="Arial" w:cs="Arial"/>
          <w:sz w:val="20"/>
          <w:szCs w:val="20"/>
          <w:lang w:val="en-US"/>
        </w:rPr>
      </w:pPr>
    </w:p>
    <w:p w:rsidR="000B4437" w:rsidRPr="00207EA4" w:rsidRDefault="000B4437" w:rsidP="00436AC5">
      <w:pPr>
        <w:rPr>
          <w:rFonts w:ascii="Arial" w:hAnsi="Arial" w:cs="Arial"/>
          <w:sz w:val="20"/>
          <w:szCs w:val="20"/>
          <w:lang w:val="en-US"/>
        </w:rPr>
      </w:pPr>
    </w:p>
    <w:p w:rsidR="00D53421" w:rsidRPr="00207EA4" w:rsidRDefault="00353028" w:rsidP="00436AC5">
      <w:pPr>
        <w:rPr>
          <w:rFonts w:ascii="Arial" w:hAnsi="Arial" w:cs="Arial"/>
          <w:sz w:val="20"/>
          <w:szCs w:val="20"/>
          <w:lang w:val="en-US"/>
        </w:rPr>
      </w:pPr>
      <w:r w:rsidRPr="00207EA4">
        <w:rPr>
          <w:rFonts w:ascii="Arial" w:hAnsi="Arial" w:cs="Arial"/>
          <w:sz w:val="20"/>
          <w:szCs w:val="20"/>
          <w:lang w:val="en-US"/>
        </w:rPr>
        <w:t xml:space="preserve">When completing </w:t>
      </w:r>
      <w:proofErr w:type="gramStart"/>
      <w:r w:rsidRPr="00207EA4">
        <w:rPr>
          <w:rFonts w:ascii="Arial" w:hAnsi="Arial" w:cs="Arial"/>
          <w:sz w:val="20"/>
          <w:szCs w:val="20"/>
          <w:lang w:val="en-US"/>
        </w:rPr>
        <w:t>a</w:t>
      </w:r>
      <w:proofErr w:type="gramEnd"/>
      <w:r w:rsidRPr="00207EA4">
        <w:rPr>
          <w:rFonts w:ascii="Arial" w:hAnsi="Arial" w:cs="Arial"/>
          <w:sz w:val="20"/>
          <w:szCs w:val="20"/>
          <w:lang w:val="en-US"/>
        </w:rPr>
        <w:t xml:space="preserve"> </w:t>
      </w:r>
      <w:r w:rsidR="00D53421" w:rsidRPr="00207EA4">
        <w:rPr>
          <w:rFonts w:ascii="Arial" w:hAnsi="Arial" w:cs="Arial"/>
          <w:sz w:val="20"/>
          <w:szCs w:val="20"/>
          <w:lang w:val="en-US"/>
        </w:rPr>
        <w:t>ORP</w:t>
      </w:r>
      <w:r w:rsidRPr="00207EA4">
        <w:rPr>
          <w:rFonts w:ascii="Arial" w:hAnsi="Arial" w:cs="Arial"/>
          <w:sz w:val="20"/>
          <w:szCs w:val="20"/>
          <w:lang w:val="en-US"/>
        </w:rPr>
        <w:t xml:space="preserve"> focus your thoughts on </w:t>
      </w:r>
      <w:r w:rsidR="00D53421" w:rsidRPr="00207EA4">
        <w:rPr>
          <w:rFonts w:ascii="Arial" w:hAnsi="Arial" w:cs="Arial"/>
          <w:sz w:val="20"/>
          <w:szCs w:val="20"/>
          <w:lang w:val="en-US"/>
        </w:rPr>
        <w:t>GGA’s 5 key risk areas, called Risk Buckets. These are:</w:t>
      </w:r>
    </w:p>
    <w:p w:rsidR="00D53421" w:rsidRPr="00207EA4" w:rsidRDefault="00D53421" w:rsidP="00436AC5">
      <w:pPr>
        <w:rPr>
          <w:rFonts w:ascii="Arial" w:hAnsi="Arial" w:cs="Arial"/>
          <w:sz w:val="20"/>
          <w:szCs w:val="20"/>
          <w:lang w:val="en-US"/>
        </w:rPr>
      </w:pPr>
    </w:p>
    <w:p w:rsidR="00D53421" w:rsidRPr="00207EA4" w:rsidRDefault="00D53421" w:rsidP="00207EA4">
      <w:pPr>
        <w:pStyle w:val="GGA4"/>
        <w:numPr>
          <w:ilvl w:val="0"/>
          <w:numId w:val="39"/>
        </w:numPr>
        <w:rPr>
          <w:rFonts w:ascii="Arial" w:hAnsi="Arial" w:cs="Arial"/>
          <w:sz w:val="20"/>
          <w:szCs w:val="20"/>
          <w:lang w:val="en-US"/>
        </w:rPr>
      </w:pPr>
      <w:r w:rsidRPr="00207EA4">
        <w:rPr>
          <w:rFonts w:ascii="Arial" w:hAnsi="Arial" w:cs="Arial"/>
          <w:sz w:val="20"/>
          <w:szCs w:val="20"/>
          <w:lang w:val="en-US"/>
        </w:rPr>
        <w:t xml:space="preserve">Governance  </w:t>
      </w:r>
    </w:p>
    <w:p w:rsidR="00D53421" w:rsidRDefault="00D53421" w:rsidP="00436AC5">
      <w:pPr>
        <w:rPr>
          <w:rFonts w:ascii="Arial" w:hAnsi="Arial" w:cs="Arial"/>
          <w:sz w:val="20"/>
          <w:szCs w:val="20"/>
          <w:lang w:val="en-US"/>
        </w:rPr>
      </w:pPr>
      <w:r w:rsidRPr="00207EA4">
        <w:rPr>
          <w:rFonts w:ascii="Arial" w:hAnsi="Arial" w:cs="Arial"/>
          <w:sz w:val="20"/>
          <w:szCs w:val="20"/>
          <w:lang w:val="en-US"/>
        </w:rPr>
        <w:t xml:space="preserve">Risk to reputation and risk to governing rules (legal liability) </w:t>
      </w:r>
    </w:p>
    <w:p w:rsidR="000B4437" w:rsidRPr="00207EA4" w:rsidRDefault="000B4437" w:rsidP="00436AC5">
      <w:pPr>
        <w:rPr>
          <w:rFonts w:ascii="Arial" w:hAnsi="Arial" w:cs="Arial"/>
          <w:sz w:val="20"/>
          <w:szCs w:val="20"/>
          <w:lang w:val="en-US"/>
        </w:rPr>
      </w:pPr>
    </w:p>
    <w:p w:rsidR="00D53421" w:rsidRPr="00207EA4" w:rsidRDefault="00D53421" w:rsidP="00436AC5">
      <w:pPr>
        <w:rPr>
          <w:rFonts w:ascii="Arial" w:hAnsi="Arial" w:cs="Arial"/>
          <w:sz w:val="20"/>
          <w:szCs w:val="20"/>
          <w:lang w:val="en-US"/>
        </w:rPr>
      </w:pPr>
    </w:p>
    <w:p w:rsidR="00D53421" w:rsidRPr="00207EA4" w:rsidRDefault="000B4437" w:rsidP="00436AC5">
      <w:pPr>
        <w:rPr>
          <w:rFonts w:ascii="Arial" w:hAnsi="Arial" w:cs="Arial"/>
          <w:sz w:val="20"/>
          <w:szCs w:val="20"/>
          <w:lang w:val="en-US"/>
        </w:rPr>
      </w:pPr>
      <w:r>
        <w:rPr>
          <w:rStyle w:val="GGA4Char"/>
          <w:rFonts w:ascii="Arial" w:eastAsiaTheme="minorHAnsi" w:hAnsi="Arial" w:cs="Arial"/>
          <w:sz w:val="20"/>
          <w:szCs w:val="20"/>
        </w:rPr>
        <w:t xml:space="preserve">2. Guiding </w:t>
      </w:r>
      <w:r w:rsidR="00D53421" w:rsidRPr="00207EA4">
        <w:rPr>
          <w:rStyle w:val="GGA4Char"/>
          <w:rFonts w:ascii="Arial" w:eastAsiaTheme="minorHAnsi" w:hAnsi="Arial" w:cs="Arial"/>
          <w:sz w:val="20"/>
          <w:szCs w:val="20"/>
        </w:rPr>
        <w:t>(Activities of Guiding</w:t>
      </w:r>
      <w:r w:rsidR="00D53421" w:rsidRPr="00207EA4">
        <w:rPr>
          <w:rFonts w:ascii="Arial" w:hAnsi="Arial" w:cs="Arial"/>
          <w:sz w:val="20"/>
          <w:szCs w:val="20"/>
          <w:lang w:val="en-US"/>
        </w:rPr>
        <w:t xml:space="preserve">)  </w:t>
      </w:r>
    </w:p>
    <w:p w:rsidR="00D53421" w:rsidRPr="00207EA4" w:rsidRDefault="00D53421" w:rsidP="00436AC5">
      <w:pPr>
        <w:rPr>
          <w:rFonts w:ascii="Arial" w:hAnsi="Arial" w:cs="Arial"/>
          <w:sz w:val="20"/>
          <w:szCs w:val="20"/>
          <w:lang w:val="en-US"/>
        </w:rPr>
      </w:pPr>
      <w:r w:rsidRPr="00207EA4">
        <w:rPr>
          <w:rFonts w:ascii="Arial" w:hAnsi="Arial" w:cs="Arial"/>
          <w:sz w:val="20"/>
          <w:szCs w:val="20"/>
          <w:lang w:val="en-US"/>
        </w:rPr>
        <w:tab/>
      </w:r>
    </w:p>
    <w:p w:rsidR="00D53421" w:rsidRDefault="00D53421" w:rsidP="00436AC5">
      <w:pPr>
        <w:rPr>
          <w:rFonts w:ascii="Arial" w:hAnsi="Arial" w:cs="Arial"/>
          <w:sz w:val="20"/>
          <w:szCs w:val="20"/>
          <w:lang w:val="en-US"/>
        </w:rPr>
      </w:pPr>
      <w:r w:rsidRPr="00207EA4">
        <w:rPr>
          <w:rFonts w:ascii="Arial" w:hAnsi="Arial" w:cs="Arial"/>
          <w:sz w:val="20"/>
          <w:szCs w:val="20"/>
          <w:lang w:val="en-US"/>
        </w:rPr>
        <w:t xml:space="preserve">Risk that activities are not appropriate to the philosophy, </w:t>
      </w:r>
      <w:r w:rsidRPr="00207EA4">
        <w:rPr>
          <w:rFonts w:ascii="Arial" w:hAnsi="Arial" w:cs="Arial"/>
          <w:sz w:val="20"/>
          <w:szCs w:val="20"/>
          <w:lang w:val="en-US"/>
        </w:rPr>
        <w:tab/>
        <w:t>principles and method of Gir</w:t>
      </w:r>
      <w:r w:rsidR="00207EA4" w:rsidRPr="00207EA4">
        <w:rPr>
          <w:rFonts w:ascii="Arial" w:hAnsi="Arial" w:cs="Arial"/>
          <w:sz w:val="20"/>
          <w:szCs w:val="20"/>
          <w:lang w:val="en-US"/>
        </w:rPr>
        <w:t xml:space="preserve">l Guides Australia. Activities </w:t>
      </w:r>
      <w:r w:rsidRPr="00207EA4">
        <w:rPr>
          <w:rFonts w:ascii="Arial" w:hAnsi="Arial" w:cs="Arial"/>
          <w:sz w:val="20"/>
          <w:szCs w:val="20"/>
          <w:lang w:val="en-US"/>
        </w:rPr>
        <w:t>are planned that are not</w:t>
      </w:r>
      <w:r w:rsidR="00207EA4" w:rsidRPr="00207EA4">
        <w:rPr>
          <w:rFonts w:ascii="Arial" w:hAnsi="Arial" w:cs="Arial"/>
          <w:sz w:val="20"/>
          <w:szCs w:val="20"/>
          <w:lang w:val="en-US"/>
        </w:rPr>
        <w:t xml:space="preserve"> suitable and do not meet the </w:t>
      </w:r>
      <w:r w:rsidRPr="00207EA4">
        <w:rPr>
          <w:rFonts w:ascii="Arial" w:hAnsi="Arial" w:cs="Arial"/>
          <w:sz w:val="20"/>
          <w:szCs w:val="20"/>
          <w:lang w:val="en-US"/>
        </w:rPr>
        <w:t>developmental needs of the participant</w:t>
      </w:r>
      <w:r w:rsidR="000B4437">
        <w:rPr>
          <w:rFonts w:ascii="Arial" w:hAnsi="Arial" w:cs="Arial"/>
          <w:sz w:val="20"/>
          <w:szCs w:val="20"/>
          <w:lang w:val="en-US"/>
        </w:rPr>
        <w:t>s</w:t>
      </w:r>
      <w:r w:rsidRPr="00207EA4">
        <w:rPr>
          <w:rFonts w:ascii="Arial" w:hAnsi="Arial" w:cs="Arial"/>
          <w:sz w:val="20"/>
          <w:szCs w:val="20"/>
          <w:lang w:val="en-US"/>
        </w:rPr>
        <w:t>.</w:t>
      </w:r>
    </w:p>
    <w:p w:rsidR="000B4437" w:rsidRPr="00207EA4" w:rsidRDefault="000B4437" w:rsidP="00436AC5">
      <w:pPr>
        <w:rPr>
          <w:rFonts w:ascii="Arial" w:hAnsi="Arial" w:cs="Arial"/>
          <w:sz w:val="20"/>
          <w:szCs w:val="20"/>
          <w:lang w:val="en-US"/>
        </w:rPr>
      </w:pPr>
    </w:p>
    <w:p w:rsidR="00D53421" w:rsidRPr="00207EA4" w:rsidRDefault="00D53421" w:rsidP="00207EA4">
      <w:pPr>
        <w:pStyle w:val="GGA4"/>
        <w:rPr>
          <w:rFonts w:ascii="Arial" w:hAnsi="Arial" w:cs="Arial"/>
          <w:sz w:val="20"/>
          <w:szCs w:val="20"/>
          <w:lang w:val="en-US"/>
        </w:rPr>
      </w:pPr>
      <w:r w:rsidRPr="00207EA4">
        <w:rPr>
          <w:rFonts w:ascii="Arial" w:hAnsi="Arial" w:cs="Arial"/>
          <w:sz w:val="20"/>
          <w:szCs w:val="20"/>
          <w:lang w:val="en-US"/>
        </w:rPr>
        <w:t xml:space="preserve">3. People   </w:t>
      </w:r>
    </w:p>
    <w:p w:rsidR="00D53421" w:rsidRPr="00207EA4" w:rsidRDefault="00D53421" w:rsidP="00436AC5">
      <w:pPr>
        <w:rPr>
          <w:rFonts w:ascii="Arial" w:hAnsi="Arial" w:cs="Arial"/>
          <w:sz w:val="20"/>
          <w:szCs w:val="20"/>
          <w:lang w:val="en-US"/>
        </w:rPr>
      </w:pPr>
      <w:r w:rsidRPr="00207EA4">
        <w:rPr>
          <w:rFonts w:ascii="Arial" w:hAnsi="Arial" w:cs="Arial"/>
          <w:sz w:val="20"/>
          <w:szCs w:val="20"/>
          <w:lang w:val="en-US"/>
        </w:rPr>
        <w:t xml:space="preserve">The physical, emotional, and psychological well-being of </w:t>
      </w:r>
      <w:r w:rsidRPr="00207EA4">
        <w:rPr>
          <w:rFonts w:ascii="Arial" w:hAnsi="Arial" w:cs="Arial"/>
          <w:sz w:val="20"/>
          <w:szCs w:val="20"/>
          <w:lang w:val="en-US"/>
        </w:rPr>
        <w:tab/>
        <w:t>all members and participant</w:t>
      </w:r>
      <w:r w:rsidR="000B4437">
        <w:rPr>
          <w:rFonts w:ascii="Arial" w:hAnsi="Arial" w:cs="Arial"/>
          <w:sz w:val="20"/>
          <w:szCs w:val="20"/>
          <w:lang w:val="en-US"/>
        </w:rPr>
        <w:t xml:space="preserve">s is paramount to our beliefs. </w:t>
      </w:r>
      <w:r w:rsidRPr="00207EA4">
        <w:rPr>
          <w:rFonts w:ascii="Arial" w:hAnsi="Arial" w:cs="Arial"/>
          <w:sz w:val="20"/>
          <w:szCs w:val="20"/>
          <w:lang w:val="en-US"/>
        </w:rPr>
        <w:t>Includes all members (youth and adult), volunteers, parents, activity provi</w:t>
      </w:r>
      <w:r w:rsidR="000B4437">
        <w:rPr>
          <w:rFonts w:ascii="Arial" w:hAnsi="Arial" w:cs="Arial"/>
          <w:sz w:val="20"/>
          <w:szCs w:val="20"/>
          <w:lang w:val="en-US"/>
        </w:rPr>
        <w:t xml:space="preserve">ders, general public, </w:t>
      </w:r>
      <w:proofErr w:type="gramStart"/>
      <w:r w:rsidR="000B4437">
        <w:rPr>
          <w:rFonts w:ascii="Arial" w:hAnsi="Arial" w:cs="Arial"/>
          <w:sz w:val="20"/>
          <w:szCs w:val="20"/>
          <w:lang w:val="en-US"/>
        </w:rPr>
        <w:t>business</w:t>
      </w:r>
      <w:proofErr w:type="gramEnd"/>
      <w:r w:rsidR="000B4437">
        <w:rPr>
          <w:rFonts w:ascii="Arial" w:hAnsi="Arial" w:cs="Arial"/>
          <w:sz w:val="20"/>
          <w:szCs w:val="20"/>
          <w:lang w:val="en-US"/>
        </w:rPr>
        <w:t xml:space="preserve"> </w:t>
      </w:r>
      <w:r w:rsidRPr="00207EA4">
        <w:rPr>
          <w:rFonts w:ascii="Arial" w:hAnsi="Arial" w:cs="Arial"/>
          <w:sz w:val="20"/>
          <w:szCs w:val="20"/>
          <w:lang w:val="en-US"/>
        </w:rPr>
        <w:t>associates.</w:t>
      </w:r>
    </w:p>
    <w:p w:rsidR="00D53421" w:rsidRPr="00207EA4" w:rsidRDefault="00D53421" w:rsidP="00436AC5">
      <w:pPr>
        <w:rPr>
          <w:rFonts w:ascii="Arial" w:hAnsi="Arial" w:cs="Arial"/>
          <w:sz w:val="20"/>
          <w:szCs w:val="20"/>
          <w:lang w:val="en-US"/>
        </w:rPr>
      </w:pPr>
      <w:r w:rsidRPr="00207EA4">
        <w:rPr>
          <w:rFonts w:ascii="Arial" w:hAnsi="Arial" w:cs="Arial"/>
          <w:sz w:val="20"/>
          <w:szCs w:val="20"/>
          <w:lang w:val="en-US"/>
        </w:rPr>
        <w:t xml:space="preserve"> </w:t>
      </w:r>
    </w:p>
    <w:p w:rsidR="00D53421" w:rsidRPr="00207EA4" w:rsidRDefault="00D53421" w:rsidP="00207EA4">
      <w:pPr>
        <w:pStyle w:val="GGA4"/>
        <w:rPr>
          <w:rFonts w:ascii="Arial" w:hAnsi="Arial" w:cs="Arial"/>
          <w:sz w:val="20"/>
          <w:szCs w:val="20"/>
          <w:lang w:val="en-US"/>
        </w:rPr>
      </w:pPr>
      <w:r w:rsidRPr="00207EA4">
        <w:rPr>
          <w:rFonts w:ascii="Arial" w:hAnsi="Arial" w:cs="Arial"/>
          <w:sz w:val="20"/>
          <w:szCs w:val="20"/>
          <w:lang w:val="en-US"/>
        </w:rPr>
        <w:t xml:space="preserve">4. Financial  </w:t>
      </w:r>
    </w:p>
    <w:p w:rsidR="00D53421" w:rsidRPr="00207EA4" w:rsidRDefault="00D53421" w:rsidP="00436AC5">
      <w:pPr>
        <w:rPr>
          <w:rFonts w:ascii="Arial" w:hAnsi="Arial" w:cs="Arial"/>
          <w:sz w:val="20"/>
          <w:szCs w:val="20"/>
          <w:lang w:val="en-US"/>
        </w:rPr>
      </w:pPr>
      <w:r w:rsidRPr="00207EA4">
        <w:rPr>
          <w:rFonts w:ascii="Arial" w:hAnsi="Arial" w:cs="Arial"/>
          <w:sz w:val="20"/>
          <w:szCs w:val="20"/>
          <w:lang w:val="en-US"/>
        </w:rPr>
        <w:t xml:space="preserve">Financial consequence linked to cost of loss associated </w:t>
      </w:r>
      <w:r w:rsidRPr="00207EA4">
        <w:rPr>
          <w:rFonts w:ascii="Arial" w:hAnsi="Arial" w:cs="Arial"/>
          <w:sz w:val="20"/>
          <w:szCs w:val="20"/>
          <w:lang w:val="en-US"/>
        </w:rPr>
        <w:tab/>
        <w:t xml:space="preserve">with risk </w:t>
      </w:r>
    </w:p>
    <w:p w:rsidR="00D53421" w:rsidRPr="00207EA4" w:rsidRDefault="00D53421" w:rsidP="00436AC5">
      <w:pPr>
        <w:rPr>
          <w:rFonts w:ascii="Arial" w:hAnsi="Arial" w:cs="Arial"/>
          <w:sz w:val="20"/>
          <w:szCs w:val="20"/>
          <w:lang w:val="en-US"/>
        </w:rPr>
      </w:pPr>
    </w:p>
    <w:p w:rsidR="00D53421" w:rsidRPr="00207EA4" w:rsidRDefault="000B4437" w:rsidP="000B4437">
      <w:pPr>
        <w:pStyle w:val="GGA4"/>
        <w:rPr>
          <w:rFonts w:ascii="Arial" w:hAnsi="Arial" w:cs="Arial"/>
          <w:sz w:val="20"/>
          <w:szCs w:val="20"/>
          <w:lang w:val="en-US"/>
        </w:rPr>
      </w:pPr>
      <w:r>
        <w:rPr>
          <w:rFonts w:ascii="Arial" w:hAnsi="Arial" w:cs="Arial"/>
          <w:sz w:val="20"/>
          <w:szCs w:val="20"/>
          <w:lang w:val="en-US"/>
        </w:rPr>
        <w:t>5. Guiding Operations</w:t>
      </w:r>
      <w:r w:rsidR="00D53421" w:rsidRPr="00207EA4">
        <w:rPr>
          <w:rFonts w:ascii="Arial" w:hAnsi="Arial" w:cs="Arial"/>
          <w:sz w:val="20"/>
          <w:szCs w:val="20"/>
          <w:lang w:val="en-US"/>
        </w:rPr>
        <w:t xml:space="preserve"> (Business of Guiding)  </w:t>
      </w:r>
    </w:p>
    <w:p w:rsidR="00D53421" w:rsidRPr="00207EA4" w:rsidRDefault="00D53421" w:rsidP="00436AC5">
      <w:pPr>
        <w:rPr>
          <w:rFonts w:ascii="Arial" w:hAnsi="Arial" w:cs="Arial"/>
          <w:sz w:val="20"/>
          <w:szCs w:val="20"/>
          <w:lang w:val="en-US"/>
        </w:rPr>
      </w:pPr>
      <w:r w:rsidRPr="00207EA4">
        <w:rPr>
          <w:rFonts w:ascii="Arial" w:hAnsi="Arial" w:cs="Arial"/>
          <w:sz w:val="20"/>
          <w:szCs w:val="20"/>
          <w:lang w:val="en-US"/>
        </w:rPr>
        <w:t xml:space="preserve">Day to day running i.e. unit leader-consent forms not completed, activity notification forms not completed.  </w:t>
      </w:r>
    </w:p>
    <w:p w:rsidR="00D53421" w:rsidRPr="00207EA4" w:rsidRDefault="00D53421" w:rsidP="00436AC5">
      <w:pPr>
        <w:rPr>
          <w:rFonts w:ascii="Arial" w:hAnsi="Arial" w:cs="Arial"/>
          <w:sz w:val="20"/>
          <w:szCs w:val="20"/>
          <w:lang w:val="en-US"/>
        </w:rPr>
      </w:pPr>
      <w:r w:rsidRPr="00207EA4">
        <w:rPr>
          <w:rFonts w:ascii="Arial" w:hAnsi="Arial" w:cs="Arial"/>
          <w:sz w:val="20"/>
          <w:szCs w:val="20"/>
          <w:lang w:val="en-US"/>
        </w:rPr>
        <w:t>Includes data integration, marketing, communications, compliance with business legislation, capacity and capability of</w:t>
      </w:r>
      <w:r w:rsidR="00B514BA">
        <w:rPr>
          <w:rFonts w:ascii="Arial" w:hAnsi="Arial" w:cs="Arial"/>
          <w:sz w:val="20"/>
          <w:szCs w:val="20"/>
          <w:lang w:val="en-US"/>
        </w:rPr>
        <w:t xml:space="preserve"> units/districts/State Guide offices</w:t>
      </w:r>
      <w:r w:rsidRPr="00207EA4">
        <w:rPr>
          <w:rFonts w:ascii="Arial" w:hAnsi="Arial" w:cs="Arial"/>
          <w:sz w:val="20"/>
          <w:szCs w:val="20"/>
          <w:lang w:val="en-US"/>
        </w:rPr>
        <w:t xml:space="preserve"> to manage the business side of </w:t>
      </w:r>
      <w:r w:rsidR="00B514BA">
        <w:rPr>
          <w:rFonts w:ascii="Arial" w:hAnsi="Arial" w:cs="Arial"/>
          <w:sz w:val="20"/>
          <w:szCs w:val="20"/>
          <w:lang w:val="en-US"/>
        </w:rPr>
        <w:t>G</w:t>
      </w:r>
      <w:r w:rsidRPr="00207EA4">
        <w:rPr>
          <w:rFonts w:ascii="Arial" w:hAnsi="Arial" w:cs="Arial"/>
          <w:sz w:val="20"/>
          <w:szCs w:val="20"/>
          <w:lang w:val="en-US"/>
        </w:rPr>
        <w:t xml:space="preserve">uiding. </w:t>
      </w:r>
    </w:p>
    <w:p w:rsidR="00D53421" w:rsidRPr="00207EA4" w:rsidRDefault="00D53421" w:rsidP="00436AC5">
      <w:pPr>
        <w:rPr>
          <w:rFonts w:ascii="Arial" w:hAnsi="Arial" w:cs="Arial"/>
          <w:sz w:val="20"/>
          <w:szCs w:val="20"/>
        </w:rPr>
        <w:sectPr w:rsidR="00D53421" w:rsidRPr="00207EA4" w:rsidSect="00D53421">
          <w:footerReference w:type="default" r:id="rId11"/>
          <w:pgSz w:w="8419" w:h="11906" w:orient="landscape" w:code="9"/>
          <w:pgMar w:top="737" w:right="907" w:bottom="737" w:left="1304" w:header="57" w:footer="284" w:gutter="284"/>
          <w:cols w:space="708"/>
          <w:docGrid w:linePitch="360"/>
        </w:sectPr>
      </w:pPr>
    </w:p>
    <w:p w:rsidR="00E20CDB" w:rsidRPr="0019269A" w:rsidRDefault="00353028" w:rsidP="00D92C7A">
      <w:pPr>
        <w:pStyle w:val="GGA4"/>
      </w:pPr>
      <w:r w:rsidRPr="0019269A">
        <w:t xml:space="preserve">Step 2: </w:t>
      </w:r>
      <w:r w:rsidR="00E20CDB" w:rsidRPr="0019269A">
        <w:t xml:space="preserve">Assess </w:t>
      </w:r>
      <w:r w:rsidR="00DD6084">
        <w:t>the I</w:t>
      </w:r>
      <w:r w:rsidR="003B28E4" w:rsidRPr="0019269A">
        <w:t xml:space="preserve">nitial </w:t>
      </w:r>
      <w:r w:rsidR="00E20CDB" w:rsidRPr="00DD6084">
        <w:t>R</w:t>
      </w:r>
      <w:r w:rsidR="00E20CDB" w:rsidRPr="0019269A">
        <w:t>isk</w:t>
      </w:r>
    </w:p>
    <w:p w:rsidR="00397B34" w:rsidRPr="00207EA4" w:rsidRDefault="00E20CDB">
      <w:pPr>
        <w:rPr>
          <w:rFonts w:ascii="Arial" w:hAnsi="Arial" w:cs="Arial"/>
          <w:sz w:val="20"/>
          <w:szCs w:val="20"/>
        </w:rPr>
      </w:pPr>
      <w:r w:rsidRPr="00207EA4">
        <w:rPr>
          <w:rFonts w:ascii="Arial" w:hAnsi="Arial" w:cs="Arial"/>
          <w:sz w:val="20"/>
          <w:szCs w:val="20"/>
        </w:rPr>
        <w:t>On</w:t>
      </w:r>
      <w:r w:rsidR="00FA106D" w:rsidRPr="00207EA4">
        <w:rPr>
          <w:rFonts w:ascii="Arial" w:hAnsi="Arial" w:cs="Arial"/>
          <w:sz w:val="20"/>
          <w:szCs w:val="20"/>
        </w:rPr>
        <w:t>ce hazards have been identified</w:t>
      </w:r>
      <w:r w:rsidRPr="00207EA4">
        <w:rPr>
          <w:rFonts w:ascii="Arial" w:hAnsi="Arial" w:cs="Arial"/>
          <w:sz w:val="20"/>
          <w:szCs w:val="20"/>
        </w:rPr>
        <w:t xml:space="preserve"> you need to assess the risk. </w:t>
      </w:r>
      <w:r w:rsidR="00397B34" w:rsidRPr="00207EA4">
        <w:rPr>
          <w:rFonts w:ascii="Arial" w:hAnsi="Arial" w:cs="Arial"/>
          <w:sz w:val="20"/>
          <w:szCs w:val="20"/>
        </w:rPr>
        <w:t>We do this twice: first to identify the initial risk rating and then again once we have chosen our control measures to show the residual risk rating.</w:t>
      </w:r>
    </w:p>
    <w:p w:rsidR="00397B34" w:rsidRPr="00207EA4" w:rsidRDefault="00397B34">
      <w:pPr>
        <w:rPr>
          <w:rFonts w:ascii="Arial" w:hAnsi="Arial" w:cs="Arial"/>
          <w:sz w:val="20"/>
          <w:szCs w:val="20"/>
        </w:rPr>
      </w:pPr>
    </w:p>
    <w:p w:rsidR="00973BCB" w:rsidRPr="00207EA4" w:rsidRDefault="00353028">
      <w:pPr>
        <w:rPr>
          <w:rFonts w:ascii="Arial" w:hAnsi="Arial" w:cs="Arial"/>
          <w:sz w:val="20"/>
          <w:szCs w:val="20"/>
        </w:rPr>
      </w:pPr>
      <w:r w:rsidRPr="00207EA4">
        <w:rPr>
          <w:rFonts w:ascii="Arial" w:hAnsi="Arial" w:cs="Arial"/>
          <w:sz w:val="20"/>
          <w:szCs w:val="20"/>
        </w:rPr>
        <w:t>We start with the consequences and move to the li</w:t>
      </w:r>
      <w:r w:rsidR="00E20CDB" w:rsidRPr="00207EA4">
        <w:rPr>
          <w:rFonts w:ascii="Arial" w:hAnsi="Arial" w:cs="Arial"/>
          <w:sz w:val="20"/>
          <w:szCs w:val="20"/>
        </w:rPr>
        <w:t xml:space="preserve">kelihood of an injury or illness occurring from exposure to the hazard. </w:t>
      </w:r>
    </w:p>
    <w:p w:rsidR="00973BCB" w:rsidRPr="00207EA4" w:rsidRDefault="00973BCB">
      <w:pPr>
        <w:rPr>
          <w:rFonts w:ascii="Arial" w:hAnsi="Arial" w:cs="Arial"/>
          <w:sz w:val="20"/>
          <w:szCs w:val="20"/>
        </w:rPr>
      </w:pPr>
    </w:p>
    <w:p w:rsidR="00973BCB" w:rsidRPr="00207EA4" w:rsidRDefault="00E20CDB">
      <w:pPr>
        <w:rPr>
          <w:rFonts w:ascii="Arial" w:hAnsi="Arial" w:cs="Arial"/>
          <w:sz w:val="20"/>
          <w:szCs w:val="20"/>
        </w:rPr>
      </w:pPr>
      <w:r w:rsidRPr="00207EA4">
        <w:rPr>
          <w:rFonts w:ascii="Arial" w:hAnsi="Arial" w:cs="Arial"/>
          <w:sz w:val="20"/>
          <w:szCs w:val="20"/>
        </w:rPr>
        <w:t xml:space="preserve">When assessing the </w:t>
      </w:r>
      <w:r w:rsidR="00973BCB" w:rsidRPr="00207EA4">
        <w:rPr>
          <w:rFonts w:ascii="Arial" w:hAnsi="Arial" w:cs="Arial"/>
          <w:sz w:val="20"/>
          <w:szCs w:val="20"/>
        </w:rPr>
        <w:t>risk,</w:t>
      </w:r>
      <w:r w:rsidRPr="00207EA4">
        <w:rPr>
          <w:rFonts w:ascii="Arial" w:hAnsi="Arial" w:cs="Arial"/>
          <w:sz w:val="20"/>
          <w:szCs w:val="20"/>
        </w:rPr>
        <w:t xml:space="preserve"> w</w:t>
      </w:r>
      <w:r w:rsidR="0079302A" w:rsidRPr="00207EA4">
        <w:rPr>
          <w:rFonts w:ascii="Arial" w:hAnsi="Arial" w:cs="Arial"/>
          <w:sz w:val="20"/>
          <w:szCs w:val="20"/>
        </w:rPr>
        <w:t xml:space="preserve">e consider </w:t>
      </w:r>
      <w:r w:rsidR="00B514BA">
        <w:rPr>
          <w:rFonts w:ascii="Arial" w:hAnsi="Arial" w:cs="Arial"/>
          <w:sz w:val="20"/>
          <w:szCs w:val="20"/>
        </w:rPr>
        <w:t>two</w:t>
      </w:r>
      <w:r w:rsidR="00973BCB" w:rsidRPr="00207EA4">
        <w:rPr>
          <w:rFonts w:ascii="Arial" w:hAnsi="Arial" w:cs="Arial"/>
          <w:sz w:val="20"/>
          <w:szCs w:val="20"/>
        </w:rPr>
        <w:t xml:space="preserve"> key</w:t>
      </w:r>
      <w:r w:rsidR="0079302A" w:rsidRPr="00207EA4">
        <w:rPr>
          <w:rFonts w:ascii="Arial" w:hAnsi="Arial" w:cs="Arial"/>
          <w:sz w:val="20"/>
          <w:szCs w:val="20"/>
        </w:rPr>
        <w:t xml:space="preserve"> factors</w:t>
      </w:r>
      <w:r w:rsidR="00973BCB" w:rsidRPr="00207EA4">
        <w:rPr>
          <w:rFonts w:ascii="Arial" w:hAnsi="Arial" w:cs="Arial"/>
          <w:sz w:val="20"/>
          <w:szCs w:val="20"/>
        </w:rPr>
        <w:t xml:space="preserve">; </w:t>
      </w:r>
      <w:r w:rsidR="00C6362F" w:rsidRPr="00207EA4">
        <w:rPr>
          <w:rFonts w:ascii="Arial" w:hAnsi="Arial" w:cs="Arial"/>
          <w:sz w:val="20"/>
          <w:szCs w:val="20"/>
        </w:rPr>
        <w:t xml:space="preserve">initial </w:t>
      </w:r>
      <w:r w:rsidR="00973BCB" w:rsidRPr="00207EA4">
        <w:rPr>
          <w:rFonts w:ascii="Arial" w:hAnsi="Arial" w:cs="Arial"/>
          <w:sz w:val="20"/>
          <w:szCs w:val="20"/>
        </w:rPr>
        <w:t xml:space="preserve">consequence and </w:t>
      </w:r>
      <w:r w:rsidR="00C6362F" w:rsidRPr="00207EA4">
        <w:rPr>
          <w:rFonts w:ascii="Arial" w:hAnsi="Arial" w:cs="Arial"/>
          <w:sz w:val="20"/>
          <w:szCs w:val="20"/>
        </w:rPr>
        <w:t xml:space="preserve">initial </w:t>
      </w:r>
      <w:r w:rsidR="00973BCB" w:rsidRPr="00207EA4">
        <w:rPr>
          <w:rFonts w:ascii="Arial" w:hAnsi="Arial" w:cs="Arial"/>
          <w:sz w:val="20"/>
          <w:szCs w:val="20"/>
        </w:rPr>
        <w:t>likelihood</w:t>
      </w:r>
    </w:p>
    <w:p w:rsidR="00973BCB" w:rsidRPr="00207EA4" w:rsidRDefault="00973BCB">
      <w:pPr>
        <w:rPr>
          <w:rFonts w:ascii="Arial" w:hAnsi="Arial" w:cs="Arial"/>
          <w:sz w:val="20"/>
          <w:szCs w:val="20"/>
        </w:rPr>
      </w:pPr>
    </w:p>
    <w:p w:rsidR="0079302A" w:rsidRPr="00207EA4" w:rsidRDefault="00973BCB">
      <w:pPr>
        <w:rPr>
          <w:rFonts w:ascii="Arial" w:hAnsi="Arial" w:cs="Arial"/>
          <w:sz w:val="20"/>
          <w:szCs w:val="20"/>
        </w:rPr>
      </w:pPr>
      <w:r w:rsidRPr="00207EA4">
        <w:rPr>
          <w:rFonts w:ascii="Arial" w:hAnsi="Arial" w:cs="Arial"/>
          <w:sz w:val="20"/>
          <w:szCs w:val="20"/>
        </w:rPr>
        <w:t xml:space="preserve">There </w:t>
      </w:r>
      <w:r w:rsidR="0079302A" w:rsidRPr="00207EA4">
        <w:rPr>
          <w:rFonts w:ascii="Arial" w:hAnsi="Arial" w:cs="Arial"/>
          <w:sz w:val="20"/>
          <w:szCs w:val="20"/>
        </w:rPr>
        <w:t xml:space="preserve">are </w:t>
      </w:r>
      <w:r w:rsidR="00B514BA">
        <w:rPr>
          <w:rFonts w:ascii="Arial" w:hAnsi="Arial" w:cs="Arial"/>
          <w:sz w:val="20"/>
          <w:szCs w:val="20"/>
        </w:rPr>
        <w:t>three</w:t>
      </w:r>
      <w:r w:rsidR="0079302A" w:rsidRPr="00207EA4">
        <w:rPr>
          <w:rFonts w:ascii="Arial" w:hAnsi="Arial" w:cs="Arial"/>
          <w:sz w:val="20"/>
          <w:szCs w:val="20"/>
        </w:rPr>
        <w:t xml:space="preserve"> tables in our </w:t>
      </w:r>
      <w:r w:rsidR="00BC4331" w:rsidRPr="00207EA4">
        <w:rPr>
          <w:rFonts w:ascii="Arial" w:hAnsi="Arial" w:cs="Arial"/>
          <w:sz w:val="20"/>
          <w:szCs w:val="20"/>
        </w:rPr>
        <w:t>ORP</w:t>
      </w:r>
      <w:r w:rsidR="0079302A" w:rsidRPr="00207EA4">
        <w:rPr>
          <w:rFonts w:ascii="Arial" w:hAnsi="Arial" w:cs="Arial"/>
          <w:sz w:val="20"/>
          <w:szCs w:val="20"/>
        </w:rPr>
        <w:t xml:space="preserve"> process that help us:</w:t>
      </w:r>
    </w:p>
    <w:p w:rsidR="0079302A" w:rsidRPr="00207EA4" w:rsidRDefault="0079302A">
      <w:pPr>
        <w:rPr>
          <w:rFonts w:ascii="Arial" w:hAnsi="Arial" w:cs="Arial"/>
          <w:sz w:val="20"/>
          <w:szCs w:val="20"/>
        </w:rPr>
      </w:pPr>
    </w:p>
    <w:p w:rsidR="0079302A" w:rsidRPr="00207EA4" w:rsidRDefault="0079302A" w:rsidP="0079302A">
      <w:pPr>
        <w:pStyle w:val="ListParagraph"/>
        <w:numPr>
          <w:ilvl w:val="0"/>
          <w:numId w:val="27"/>
        </w:numPr>
        <w:rPr>
          <w:rFonts w:ascii="Arial" w:hAnsi="Arial" w:cs="Arial"/>
          <w:sz w:val="20"/>
          <w:szCs w:val="20"/>
        </w:rPr>
      </w:pPr>
      <w:r w:rsidRPr="00207EA4">
        <w:rPr>
          <w:rFonts w:ascii="Arial" w:hAnsi="Arial" w:cs="Arial"/>
          <w:sz w:val="20"/>
          <w:szCs w:val="20"/>
        </w:rPr>
        <w:t>Consequence table –</w:t>
      </w:r>
      <w:r w:rsidR="001D73D5" w:rsidRPr="00207EA4">
        <w:rPr>
          <w:rFonts w:ascii="Arial" w:hAnsi="Arial" w:cs="Arial"/>
          <w:sz w:val="20"/>
          <w:szCs w:val="20"/>
        </w:rPr>
        <w:t xml:space="preserve"> this helps us work out</w:t>
      </w:r>
      <w:r w:rsidRPr="00207EA4">
        <w:rPr>
          <w:rFonts w:ascii="Arial" w:hAnsi="Arial" w:cs="Arial"/>
          <w:sz w:val="20"/>
          <w:szCs w:val="20"/>
        </w:rPr>
        <w:t xml:space="preserve"> how severe the consequences could be</w:t>
      </w:r>
      <w:r w:rsidR="001D73D5" w:rsidRPr="00207EA4">
        <w:rPr>
          <w:rFonts w:ascii="Arial" w:hAnsi="Arial" w:cs="Arial"/>
          <w:sz w:val="20"/>
          <w:szCs w:val="20"/>
        </w:rPr>
        <w:t xml:space="preserve">. You will notice that the risk buckets appear </w:t>
      </w:r>
      <w:r w:rsidR="00BC4331" w:rsidRPr="00207EA4">
        <w:rPr>
          <w:rFonts w:ascii="Arial" w:hAnsi="Arial" w:cs="Arial"/>
          <w:sz w:val="20"/>
          <w:szCs w:val="20"/>
        </w:rPr>
        <w:t xml:space="preserve">again </w:t>
      </w:r>
      <w:r w:rsidR="001D73D5" w:rsidRPr="00207EA4">
        <w:rPr>
          <w:rFonts w:ascii="Arial" w:hAnsi="Arial" w:cs="Arial"/>
          <w:sz w:val="20"/>
          <w:szCs w:val="20"/>
        </w:rPr>
        <w:t xml:space="preserve">here. </w:t>
      </w:r>
    </w:p>
    <w:p w:rsidR="0079302A" w:rsidRPr="00207EA4" w:rsidRDefault="0079302A" w:rsidP="0079302A">
      <w:pPr>
        <w:pStyle w:val="ListParagraph"/>
        <w:ind w:left="360"/>
        <w:rPr>
          <w:rFonts w:ascii="Arial" w:hAnsi="Arial" w:cs="Arial"/>
          <w:sz w:val="20"/>
          <w:szCs w:val="20"/>
        </w:rPr>
      </w:pPr>
    </w:p>
    <w:p w:rsidR="0079302A" w:rsidRPr="00207EA4" w:rsidRDefault="0079302A" w:rsidP="000E0260">
      <w:pPr>
        <w:pStyle w:val="ListParagraph"/>
        <w:numPr>
          <w:ilvl w:val="0"/>
          <w:numId w:val="27"/>
        </w:numPr>
        <w:rPr>
          <w:rFonts w:ascii="Arial" w:hAnsi="Arial" w:cs="Arial"/>
          <w:sz w:val="20"/>
          <w:szCs w:val="20"/>
        </w:rPr>
      </w:pPr>
      <w:r w:rsidRPr="00207EA4">
        <w:rPr>
          <w:rFonts w:ascii="Arial" w:hAnsi="Arial" w:cs="Arial"/>
          <w:sz w:val="20"/>
          <w:szCs w:val="20"/>
        </w:rPr>
        <w:t>Likelihood table –</w:t>
      </w:r>
      <w:r w:rsidR="001D73D5" w:rsidRPr="00207EA4">
        <w:rPr>
          <w:rFonts w:ascii="Arial" w:hAnsi="Arial" w:cs="Arial"/>
          <w:sz w:val="20"/>
          <w:szCs w:val="20"/>
        </w:rPr>
        <w:t xml:space="preserve"> this helps us work out</w:t>
      </w:r>
      <w:r w:rsidRPr="00207EA4">
        <w:rPr>
          <w:rFonts w:ascii="Arial" w:hAnsi="Arial" w:cs="Arial"/>
          <w:sz w:val="20"/>
          <w:szCs w:val="20"/>
        </w:rPr>
        <w:t xml:space="preserve"> us how often this may occur</w:t>
      </w:r>
      <w:r w:rsidR="001D73D5" w:rsidRPr="00207EA4">
        <w:rPr>
          <w:rFonts w:ascii="Arial" w:hAnsi="Arial" w:cs="Arial"/>
          <w:sz w:val="20"/>
          <w:szCs w:val="20"/>
        </w:rPr>
        <w:t>.</w:t>
      </w:r>
    </w:p>
    <w:p w:rsidR="00B514BA" w:rsidRDefault="00B514BA" w:rsidP="00B514BA">
      <w:pPr>
        <w:pStyle w:val="ListParagraph"/>
        <w:ind w:left="360"/>
        <w:rPr>
          <w:rFonts w:ascii="Arial" w:hAnsi="Arial" w:cs="Arial"/>
          <w:sz w:val="20"/>
          <w:szCs w:val="20"/>
        </w:rPr>
      </w:pPr>
    </w:p>
    <w:p w:rsidR="001D73D5" w:rsidRPr="00207EA4" w:rsidRDefault="0079302A" w:rsidP="0079302A">
      <w:pPr>
        <w:pStyle w:val="ListParagraph"/>
        <w:numPr>
          <w:ilvl w:val="0"/>
          <w:numId w:val="27"/>
        </w:numPr>
        <w:rPr>
          <w:rFonts w:ascii="Arial" w:hAnsi="Arial" w:cs="Arial"/>
          <w:sz w:val="20"/>
          <w:szCs w:val="20"/>
        </w:rPr>
      </w:pPr>
      <w:r w:rsidRPr="00207EA4">
        <w:rPr>
          <w:rFonts w:ascii="Arial" w:hAnsi="Arial" w:cs="Arial"/>
          <w:sz w:val="20"/>
          <w:szCs w:val="20"/>
        </w:rPr>
        <w:t xml:space="preserve">Risk analysis table – this gives us the risk rating. </w:t>
      </w:r>
      <w:r w:rsidR="001D73D5" w:rsidRPr="00207EA4">
        <w:rPr>
          <w:rFonts w:ascii="Arial" w:hAnsi="Arial" w:cs="Arial"/>
          <w:sz w:val="20"/>
          <w:szCs w:val="20"/>
        </w:rPr>
        <w:t xml:space="preserve">If you apply your consequence rating and your likelihood rating the </w:t>
      </w:r>
      <w:r w:rsidR="00AF5B58" w:rsidRPr="00207EA4">
        <w:rPr>
          <w:rFonts w:ascii="Arial" w:hAnsi="Arial" w:cs="Arial"/>
          <w:sz w:val="20"/>
          <w:szCs w:val="20"/>
        </w:rPr>
        <w:t xml:space="preserve">risk analysis </w:t>
      </w:r>
      <w:r w:rsidR="00B514BA">
        <w:rPr>
          <w:rFonts w:ascii="Arial" w:hAnsi="Arial" w:cs="Arial"/>
          <w:sz w:val="20"/>
          <w:szCs w:val="20"/>
        </w:rPr>
        <w:t>matrix will then</w:t>
      </w:r>
      <w:r w:rsidR="001D73D5" w:rsidRPr="00207EA4">
        <w:rPr>
          <w:rFonts w:ascii="Arial" w:hAnsi="Arial" w:cs="Arial"/>
          <w:sz w:val="20"/>
          <w:szCs w:val="20"/>
        </w:rPr>
        <w:t xml:space="preserve"> suggest </w:t>
      </w:r>
      <w:r w:rsidR="00AF5B58" w:rsidRPr="00207EA4">
        <w:rPr>
          <w:rFonts w:ascii="Arial" w:hAnsi="Arial" w:cs="Arial"/>
          <w:sz w:val="20"/>
          <w:szCs w:val="20"/>
        </w:rPr>
        <w:t xml:space="preserve">a current </w:t>
      </w:r>
      <w:r w:rsidR="001D73D5" w:rsidRPr="00207EA4">
        <w:rPr>
          <w:rFonts w:ascii="Arial" w:hAnsi="Arial" w:cs="Arial"/>
          <w:sz w:val="20"/>
          <w:szCs w:val="20"/>
        </w:rPr>
        <w:t xml:space="preserve">risk </w:t>
      </w:r>
      <w:r w:rsidR="00AF5B58" w:rsidRPr="00207EA4">
        <w:rPr>
          <w:rFonts w:ascii="Arial" w:hAnsi="Arial" w:cs="Arial"/>
          <w:sz w:val="20"/>
          <w:szCs w:val="20"/>
        </w:rPr>
        <w:t>rating</w:t>
      </w:r>
      <w:r w:rsidR="00B514BA">
        <w:rPr>
          <w:rFonts w:ascii="Arial" w:hAnsi="Arial" w:cs="Arial"/>
          <w:sz w:val="20"/>
          <w:szCs w:val="20"/>
        </w:rPr>
        <w:t>. This will</w:t>
      </w:r>
      <w:r w:rsidR="001D73D5" w:rsidRPr="00207EA4">
        <w:rPr>
          <w:rFonts w:ascii="Arial" w:hAnsi="Arial" w:cs="Arial"/>
          <w:sz w:val="20"/>
          <w:szCs w:val="20"/>
        </w:rPr>
        <w:t xml:space="preserve"> help you to</w:t>
      </w:r>
      <w:r w:rsidR="00AF5B58" w:rsidRPr="00207EA4">
        <w:rPr>
          <w:rFonts w:ascii="Arial" w:hAnsi="Arial" w:cs="Arial"/>
          <w:sz w:val="20"/>
          <w:szCs w:val="20"/>
        </w:rPr>
        <w:t xml:space="preserve"> decide if we need to put more controls in place to make the activity less risky</w:t>
      </w:r>
      <w:r w:rsidR="00B514BA">
        <w:rPr>
          <w:rFonts w:ascii="Arial" w:hAnsi="Arial" w:cs="Arial"/>
          <w:sz w:val="20"/>
          <w:szCs w:val="20"/>
        </w:rPr>
        <w:t>. W</w:t>
      </w:r>
      <w:r w:rsidRPr="00207EA4">
        <w:rPr>
          <w:rFonts w:ascii="Arial" w:hAnsi="Arial" w:cs="Arial"/>
          <w:sz w:val="20"/>
          <w:szCs w:val="20"/>
        </w:rPr>
        <w:t>e then use the matrix again</w:t>
      </w:r>
      <w:r w:rsidR="00B514BA">
        <w:rPr>
          <w:rFonts w:ascii="Arial" w:hAnsi="Arial" w:cs="Arial"/>
          <w:sz w:val="20"/>
          <w:szCs w:val="20"/>
        </w:rPr>
        <w:t>, applying</w:t>
      </w:r>
      <w:r w:rsidRPr="00207EA4">
        <w:rPr>
          <w:rFonts w:ascii="Arial" w:hAnsi="Arial" w:cs="Arial"/>
          <w:sz w:val="20"/>
          <w:szCs w:val="20"/>
        </w:rPr>
        <w:t xml:space="preserve"> the new controls</w:t>
      </w:r>
      <w:r w:rsidR="00B514BA">
        <w:rPr>
          <w:rFonts w:ascii="Arial" w:hAnsi="Arial" w:cs="Arial"/>
          <w:sz w:val="20"/>
          <w:szCs w:val="20"/>
        </w:rPr>
        <w:t xml:space="preserve"> to</w:t>
      </w:r>
      <w:r w:rsidRPr="00207EA4">
        <w:rPr>
          <w:rFonts w:ascii="Arial" w:hAnsi="Arial" w:cs="Arial"/>
          <w:sz w:val="20"/>
          <w:szCs w:val="20"/>
        </w:rPr>
        <w:t xml:space="preserve"> give us a new rating. </w:t>
      </w:r>
    </w:p>
    <w:p w:rsidR="00397B34" w:rsidRPr="00207EA4" w:rsidRDefault="00397B34" w:rsidP="00397B34">
      <w:pPr>
        <w:pStyle w:val="ListParagraph"/>
        <w:rPr>
          <w:rFonts w:ascii="Arial" w:hAnsi="Arial" w:cs="Arial"/>
          <w:sz w:val="20"/>
          <w:szCs w:val="20"/>
        </w:rPr>
      </w:pPr>
    </w:p>
    <w:p w:rsidR="00AF5B58" w:rsidRPr="00207EA4" w:rsidRDefault="00AF5B58" w:rsidP="001D73D5">
      <w:pPr>
        <w:rPr>
          <w:rFonts w:ascii="Arial" w:hAnsi="Arial" w:cs="Arial"/>
          <w:sz w:val="20"/>
          <w:szCs w:val="20"/>
        </w:rPr>
      </w:pPr>
    </w:p>
    <w:p w:rsidR="001D73D5" w:rsidRPr="00207EA4" w:rsidRDefault="001D73D5" w:rsidP="001D73D5">
      <w:pPr>
        <w:rPr>
          <w:rFonts w:ascii="Arial" w:hAnsi="Arial" w:cs="Arial"/>
          <w:sz w:val="20"/>
          <w:szCs w:val="20"/>
        </w:rPr>
      </w:pPr>
    </w:p>
    <w:p w:rsidR="000E0260" w:rsidRPr="00207EA4" w:rsidRDefault="000E0260">
      <w:pPr>
        <w:rPr>
          <w:rFonts w:ascii="Arial" w:eastAsia="Times New Roman" w:hAnsi="Arial" w:cs="Arial"/>
          <w:b/>
          <w:bCs/>
          <w:color w:val="0070C0"/>
          <w:sz w:val="20"/>
          <w:szCs w:val="20"/>
          <w:lang w:eastAsia="en-AU"/>
        </w:rPr>
      </w:pPr>
      <w:r w:rsidRPr="00207EA4">
        <w:rPr>
          <w:rFonts w:ascii="Arial" w:hAnsi="Arial" w:cs="Arial"/>
          <w:sz w:val="20"/>
          <w:szCs w:val="20"/>
        </w:rPr>
        <w:br w:type="page"/>
      </w:r>
    </w:p>
    <w:p w:rsidR="001D73D5" w:rsidRPr="00DD6084" w:rsidRDefault="001D73D5" w:rsidP="001D73D5">
      <w:pPr>
        <w:pStyle w:val="Heading4"/>
        <w:rPr>
          <w:rFonts w:ascii="Arial" w:hAnsi="Arial" w:cs="Arial"/>
          <w:color w:val="0033A1"/>
          <w:sz w:val="20"/>
          <w:szCs w:val="20"/>
        </w:rPr>
      </w:pPr>
      <w:r w:rsidRPr="00DD6084">
        <w:rPr>
          <w:rFonts w:ascii="Arial" w:hAnsi="Arial" w:cs="Arial"/>
          <w:color w:val="0033A1"/>
          <w:sz w:val="20"/>
          <w:szCs w:val="20"/>
        </w:rPr>
        <w:t>TABLE 1 Consequence Rating Table</w:t>
      </w:r>
    </w:p>
    <w:tbl>
      <w:tblPr>
        <w:tblpPr w:leftFromText="180" w:rightFromText="180" w:vertAnchor="text" w:horzAnchor="page" w:tblpXSpec="center" w:tblpY="197"/>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103"/>
      </w:tblGrid>
      <w:tr w:rsidR="001D73D5" w:rsidRPr="00207EA4" w:rsidTr="00B514BA">
        <w:tc>
          <w:tcPr>
            <w:tcW w:w="1555" w:type="dxa"/>
            <w:shd w:val="clear" w:color="auto" w:fill="B4C6E7"/>
            <w:vAlign w:val="center"/>
          </w:tcPr>
          <w:p w:rsidR="001D73D5" w:rsidRPr="00DD6084" w:rsidRDefault="001D73D5" w:rsidP="00DD6084">
            <w:pPr>
              <w:spacing w:before="79"/>
              <w:ind w:left="81" w:right="-20"/>
              <w:jc w:val="center"/>
              <w:rPr>
                <w:rFonts w:ascii="Arial" w:eastAsia="Arial" w:hAnsi="Arial" w:cs="Arial"/>
                <w:b/>
                <w:bCs/>
                <w:color w:val="231F20"/>
                <w:sz w:val="16"/>
                <w:szCs w:val="16"/>
              </w:rPr>
            </w:pPr>
            <w:r w:rsidRPr="00DD6084">
              <w:rPr>
                <w:rFonts w:ascii="Arial" w:eastAsia="Arial" w:hAnsi="Arial" w:cs="Arial"/>
                <w:b/>
                <w:bCs/>
                <w:color w:val="231F20"/>
                <w:sz w:val="16"/>
                <w:szCs w:val="16"/>
              </w:rPr>
              <w:t>CONSEQUENCE</w:t>
            </w:r>
          </w:p>
        </w:tc>
        <w:tc>
          <w:tcPr>
            <w:tcW w:w="5103" w:type="dxa"/>
            <w:shd w:val="clear" w:color="auto" w:fill="B4C6E7"/>
            <w:vAlign w:val="center"/>
          </w:tcPr>
          <w:p w:rsidR="001D73D5" w:rsidRPr="00DD6084" w:rsidRDefault="001D73D5" w:rsidP="00DD6084">
            <w:pPr>
              <w:spacing w:before="79"/>
              <w:ind w:left="81" w:right="-20"/>
              <w:jc w:val="center"/>
              <w:rPr>
                <w:rFonts w:ascii="Arial" w:eastAsia="Arial" w:hAnsi="Arial" w:cs="Arial"/>
                <w:b/>
                <w:bCs/>
                <w:color w:val="231F20"/>
                <w:sz w:val="16"/>
                <w:szCs w:val="16"/>
              </w:rPr>
            </w:pPr>
            <w:r w:rsidRPr="00DD6084">
              <w:rPr>
                <w:rFonts w:ascii="Arial" w:eastAsia="Arial" w:hAnsi="Arial" w:cs="Arial"/>
                <w:b/>
                <w:bCs/>
                <w:color w:val="231F20"/>
                <w:sz w:val="16"/>
                <w:szCs w:val="16"/>
              </w:rPr>
              <w:t>DESCRIPTION</w:t>
            </w:r>
          </w:p>
        </w:tc>
      </w:tr>
      <w:tr w:rsidR="001D73D5" w:rsidRPr="00207EA4" w:rsidTr="00B514BA">
        <w:tc>
          <w:tcPr>
            <w:tcW w:w="1555" w:type="dxa"/>
            <w:shd w:val="clear" w:color="auto" w:fill="auto"/>
          </w:tcPr>
          <w:p w:rsidR="001D73D5" w:rsidRPr="00207EA4" w:rsidRDefault="001D73D5" w:rsidP="005A7DD8">
            <w:pPr>
              <w:numPr>
                <w:ilvl w:val="12"/>
                <w:numId w:val="0"/>
              </w:numPr>
              <w:tabs>
                <w:tab w:val="left" w:pos="29"/>
              </w:tabs>
              <w:spacing w:before="120" w:after="120"/>
              <w:ind w:left="29"/>
              <w:rPr>
                <w:rFonts w:ascii="Arial" w:eastAsia="Times New Roman" w:hAnsi="Arial" w:cs="Arial"/>
                <w:b/>
                <w:sz w:val="20"/>
                <w:szCs w:val="20"/>
              </w:rPr>
            </w:pPr>
            <w:r w:rsidRPr="00207EA4">
              <w:rPr>
                <w:rFonts w:ascii="Arial" w:eastAsia="Times New Roman" w:hAnsi="Arial" w:cs="Arial"/>
                <w:b/>
                <w:sz w:val="20"/>
                <w:szCs w:val="20"/>
              </w:rPr>
              <w:t xml:space="preserve">Insignificant </w:t>
            </w:r>
          </w:p>
          <w:p w:rsidR="001D73D5" w:rsidRPr="00207EA4" w:rsidRDefault="001D73D5" w:rsidP="005A7DD8">
            <w:pPr>
              <w:numPr>
                <w:ilvl w:val="12"/>
                <w:numId w:val="0"/>
              </w:numPr>
              <w:tabs>
                <w:tab w:val="left" w:pos="29"/>
              </w:tabs>
              <w:spacing w:before="120" w:after="120"/>
              <w:ind w:left="29"/>
              <w:rPr>
                <w:rFonts w:ascii="Arial" w:eastAsia="Times New Roman" w:hAnsi="Arial" w:cs="Arial"/>
                <w:b/>
                <w:sz w:val="20"/>
                <w:szCs w:val="20"/>
              </w:rPr>
            </w:pPr>
          </w:p>
        </w:tc>
        <w:tc>
          <w:tcPr>
            <w:tcW w:w="5103" w:type="dxa"/>
            <w:shd w:val="clear" w:color="auto" w:fill="auto"/>
          </w:tcPr>
          <w:p w:rsidR="001D73D5" w:rsidRPr="00207EA4" w:rsidRDefault="001D73D5" w:rsidP="005A7DD8">
            <w:pPr>
              <w:spacing w:before="120" w:after="120"/>
              <w:rPr>
                <w:rFonts w:ascii="Arial" w:eastAsia="Times New Roman" w:hAnsi="Arial" w:cs="Arial"/>
                <w:sz w:val="20"/>
                <w:szCs w:val="20"/>
              </w:rPr>
            </w:pPr>
            <w:r w:rsidRPr="00207EA4">
              <w:rPr>
                <w:rFonts w:ascii="Arial" w:eastAsia="Times New Roman" w:hAnsi="Arial" w:cs="Arial"/>
                <w:sz w:val="20"/>
                <w:szCs w:val="20"/>
              </w:rPr>
              <w:t>Low level Impact with negligible consequences on the aim or activity objectives that can be controlled by routine management procedures.</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 xml:space="preserve">Governance: e.g. adverse community sentiment/media article or insignificant breach of governing rule with small breach of </w:t>
            </w:r>
            <w:r w:rsidR="00B514BA">
              <w:rPr>
                <w:rFonts w:ascii="Arial" w:eastAsia="Times New Roman" w:hAnsi="Arial" w:cs="Arial"/>
                <w:sz w:val="20"/>
                <w:szCs w:val="20"/>
              </w:rPr>
              <w:t>c</w:t>
            </w:r>
            <w:r w:rsidRPr="00207EA4">
              <w:rPr>
                <w:rFonts w:ascii="Arial" w:eastAsia="Times New Roman" w:hAnsi="Arial" w:cs="Arial"/>
                <w:sz w:val="20"/>
                <w:szCs w:val="20"/>
              </w:rPr>
              <w:t>onsequence.</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(Activities of Guiding): e.g. program / activity interrupted for 1 week.</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People: e.g. minor injury requiring first aid only.</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Financial: i.e. no long term impact e.g. loss with a negative overall financial impact below the “minor” level.</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Operations (Business of Guiding): e.g. key staff unavailable to be contacted in a timely manner.</w:t>
            </w:r>
          </w:p>
        </w:tc>
      </w:tr>
      <w:tr w:rsidR="001D73D5" w:rsidRPr="00207EA4" w:rsidTr="00B514BA">
        <w:tc>
          <w:tcPr>
            <w:tcW w:w="1555" w:type="dxa"/>
            <w:shd w:val="clear" w:color="auto" w:fill="auto"/>
          </w:tcPr>
          <w:p w:rsidR="001D73D5" w:rsidRPr="00207EA4" w:rsidRDefault="001D73D5" w:rsidP="005A7DD8">
            <w:pPr>
              <w:numPr>
                <w:ilvl w:val="12"/>
                <w:numId w:val="0"/>
              </w:numPr>
              <w:tabs>
                <w:tab w:val="left" w:pos="29"/>
              </w:tabs>
              <w:spacing w:before="120" w:after="120"/>
              <w:ind w:left="29"/>
              <w:rPr>
                <w:rFonts w:ascii="Arial" w:eastAsia="Times New Roman" w:hAnsi="Arial" w:cs="Arial"/>
                <w:b/>
                <w:sz w:val="20"/>
                <w:szCs w:val="20"/>
              </w:rPr>
            </w:pPr>
            <w:r w:rsidRPr="00207EA4">
              <w:rPr>
                <w:rFonts w:ascii="Arial" w:eastAsia="Times New Roman" w:hAnsi="Arial" w:cs="Arial"/>
                <w:b/>
                <w:sz w:val="20"/>
                <w:szCs w:val="20"/>
              </w:rPr>
              <w:t xml:space="preserve">Minor </w:t>
            </w:r>
          </w:p>
        </w:tc>
        <w:tc>
          <w:tcPr>
            <w:tcW w:w="5103" w:type="dxa"/>
            <w:shd w:val="clear" w:color="auto" w:fill="auto"/>
          </w:tcPr>
          <w:p w:rsidR="001D73D5" w:rsidRPr="00207EA4" w:rsidRDefault="001D73D5" w:rsidP="005A7DD8">
            <w:pPr>
              <w:spacing w:before="120" w:after="120"/>
              <w:rPr>
                <w:rFonts w:ascii="Arial" w:eastAsia="Times New Roman" w:hAnsi="Arial" w:cs="Arial"/>
                <w:sz w:val="20"/>
                <w:szCs w:val="20"/>
              </w:rPr>
            </w:pPr>
            <w:r w:rsidRPr="00207EA4">
              <w:rPr>
                <w:rFonts w:ascii="Arial" w:eastAsia="Times New Roman" w:hAnsi="Arial" w:cs="Arial"/>
                <w:sz w:val="20"/>
                <w:szCs w:val="20"/>
              </w:rPr>
              <w:t>The consequences would threaten the efficiency or effectiveness of achieving some aspects of GGA’s aim or activity objectives, requiring management effort to minimise impact. These are defined as:</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Governance: e.g. informal complaint from parent/member which may result in adverse media over several days; minor breach of governing rules with minor breach consequence.</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(Activities of Guiding): e.g. program / activity interrupted for 2-4 weeks.</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 xml:space="preserve">People: e.g. fractured bone, sprain etc. requiring medical intervention. </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Financial: i.e. small loss, short term impact e.g. loss with a negative overall financial impact below the “moderate” level.</w:t>
            </w:r>
          </w:p>
          <w:p w:rsidR="001D73D5" w:rsidRPr="00207EA4" w:rsidRDefault="001D73D5" w:rsidP="001D73D5">
            <w:pPr>
              <w:numPr>
                <w:ilvl w:val="0"/>
                <w:numId w:val="28"/>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Operations (Business of Guiding): e.g. temporary impact or interruption which may cause slight delay.</w:t>
            </w:r>
          </w:p>
        </w:tc>
      </w:tr>
      <w:tr w:rsidR="001D73D5" w:rsidRPr="00207EA4" w:rsidTr="00B514BA">
        <w:tc>
          <w:tcPr>
            <w:tcW w:w="1555" w:type="dxa"/>
            <w:shd w:val="clear" w:color="auto" w:fill="auto"/>
          </w:tcPr>
          <w:p w:rsidR="001D73D5" w:rsidRPr="00207EA4" w:rsidRDefault="001D73D5" w:rsidP="005A7DD8">
            <w:pPr>
              <w:numPr>
                <w:ilvl w:val="12"/>
                <w:numId w:val="0"/>
              </w:numPr>
              <w:tabs>
                <w:tab w:val="left" w:pos="29"/>
              </w:tabs>
              <w:spacing w:before="120" w:after="120"/>
              <w:ind w:left="29"/>
              <w:rPr>
                <w:rFonts w:ascii="Arial" w:eastAsia="Times New Roman" w:hAnsi="Arial" w:cs="Arial"/>
                <w:b/>
                <w:sz w:val="20"/>
                <w:szCs w:val="20"/>
              </w:rPr>
            </w:pPr>
            <w:r w:rsidRPr="00207EA4">
              <w:rPr>
                <w:rFonts w:ascii="Arial" w:eastAsia="Times New Roman" w:hAnsi="Arial" w:cs="Arial"/>
                <w:b/>
                <w:sz w:val="20"/>
                <w:szCs w:val="20"/>
              </w:rPr>
              <w:t>Moderate</w:t>
            </w:r>
          </w:p>
        </w:tc>
        <w:tc>
          <w:tcPr>
            <w:tcW w:w="5103" w:type="dxa"/>
            <w:shd w:val="clear" w:color="auto" w:fill="auto"/>
          </w:tcPr>
          <w:p w:rsidR="001D73D5" w:rsidRPr="00207EA4" w:rsidRDefault="001D73D5" w:rsidP="005A7DD8">
            <w:pPr>
              <w:spacing w:before="120" w:after="120"/>
              <w:rPr>
                <w:rFonts w:ascii="Arial" w:eastAsia="Times New Roman" w:hAnsi="Arial" w:cs="Arial"/>
                <w:sz w:val="20"/>
                <w:szCs w:val="20"/>
              </w:rPr>
            </w:pPr>
            <w:r w:rsidRPr="00207EA4">
              <w:rPr>
                <w:rFonts w:ascii="Arial" w:eastAsia="Times New Roman" w:hAnsi="Arial" w:cs="Arial"/>
                <w:sz w:val="20"/>
                <w:szCs w:val="20"/>
              </w:rPr>
              <w:t>A significant/medium potential of affecting the achievement of GGA’s aim or activity objectives. These are defined as:</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Governance: e.g. formal complaint (e.g. written) or material breach of legislation leading to more significant undertaking; failure to follow Guide Lines ratios.</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(Activities of Guiding): e.g. program / activity involving 2 or more units is actually or potentially interrupted for more than 4 weeks.</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People: e.g. suspected abuse or notification of abuse of a youth or adult member; disabling injury.</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 xml:space="preserve">Financial: e.g. cancellation of a national event causing a loss with a negative overall financial impact below the “major” level. </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Operations (Business of Guiding): – e.g. short term impact to business operations; loss of data or personnel; short term impact.</w:t>
            </w:r>
          </w:p>
        </w:tc>
      </w:tr>
      <w:tr w:rsidR="001D73D5" w:rsidRPr="00207EA4" w:rsidTr="00B514BA">
        <w:tc>
          <w:tcPr>
            <w:tcW w:w="1555" w:type="dxa"/>
            <w:shd w:val="clear" w:color="auto" w:fill="auto"/>
          </w:tcPr>
          <w:p w:rsidR="001D73D5" w:rsidRPr="00207EA4" w:rsidRDefault="001D73D5" w:rsidP="005A7DD8">
            <w:pPr>
              <w:numPr>
                <w:ilvl w:val="12"/>
                <w:numId w:val="0"/>
              </w:numPr>
              <w:tabs>
                <w:tab w:val="left" w:pos="29"/>
              </w:tabs>
              <w:spacing w:before="120" w:after="120"/>
              <w:ind w:left="29"/>
              <w:rPr>
                <w:rFonts w:ascii="Arial" w:eastAsia="Times New Roman" w:hAnsi="Arial" w:cs="Arial"/>
                <w:b/>
                <w:sz w:val="20"/>
                <w:szCs w:val="20"/>
              </w:rPr>
            </w:pPr>
            <w:r w:rsidRPr="00207EA4">
              <w:rPr>
                <w:rFonts w:ascii="Arial" w:eastAsia="Times New Roman" w:hAnsi="Arial" w:cs="Arial"/>
                <w:b/>
                <w:sz w:val="20"/>
                <w:szCs w:val="20"/>
              </w:rPr>
              <w:t>Major</w:t>
            </w:r>
          </w:p>
          <w:p w:rsidR="001D73D5" w:rsidRPr="00207EA4" w:rsidRDefault="001D73D5" w:rsidP="005A7DD8">
            <w:pPr>
              <w:numPr>
                <w:ilvl w:val="12"/>
                <w:numId w:val="0"/>
              </w:numPr>
              <w:tabs>
                <w:tab w:val="left" w:pos="29"/>
              </w:tabs>
              <w:spacing w:before="120" w:after="120"/>
              <w:ind w:left="29"/>
              <w:rPr>
                <w:rFonts w:ascii="Arial" w:eastAsia="Times New Roman" w:hAnsi="Arial" w:cs="Arial"/>
                <w:b/>
                <w:sz w:val="20"/>
                <w:szCs w:val="20"/>
              </w:rPr>
            </w:pPr>
          </w:p>
        </w:tc>
        <w:tc>
          <w:tcPr>
            <w:tcW w:w="5103" w:type="dxa"/>
            <w:shd w:val="clear" w:color="auto" w:fill="auto"/>
          </w:tcPr>
          <w:p w:rsidR="001D73D5" w:rsidRPr="00207EA4" w:rsidRDefault="001D73D5" w:rsidP="005A7DD8">
            <w:pPr>
              <w:spacing w:before="120" w:after="120"/>
              <w:rPr>
                <w:rFonts w:ascii="Arial" w:eastAsia="Times New Roman" w:hAnsi="Arial" w:cs="Arial"/>
                <w:sz w:val="20"/>
                <w:szCs w:val="20"/>
              </w:rPr>
            </w:pPr>
            <w:r w:rsidRPr="00207EA4">
              <w:rPr>
                <w:rFonts w:ascii="Arial" w:eastAsia="Times New Roman" w:hAnsi="Arial" w:cs="Arial"/>
                <w:sz w:val="20"/>
                <w:szCs w:val="20"/>
              </w:rPr>
              <w:t>A very high potential to impair the achievement of GGA’s aim or activity objectives. These are defined as:</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Governance: e.g. a breach of legislation; failure to follow ASIC rules.</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(Activities of Guiding): e.g. program / activity involving 2 or more regions is actually or potentially interrupted for more than 4 weeks</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People: e.g. undisclosed health issues; serious injury to personnel; failure to follow Child Protection Policy; death of 1-5 participants, substantiated abuse of a youth member.</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Financial: e.g. significant fraud; loss of on third of GGA’s or SGGO’s membership; loss with a negative overall financial impact below the “Catastrophic” level.</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Operations (Business of Guiding): e.g. significant impact to the business operations; loss of capacity and capability over medium timeline.</w:t>
            </w:r>
          </w:p>
        </w:tc>
      </w:tr>
      <w:tr w:rsidR="001D73D5" w:rsidRPr="00207EA4" w:rsidTr="00B514BA">
        <w:tc>
          <w:tcPr>
            <w:tcW w:w="1555" w:type="dxa"/>
            <w:shd w:val="clear" w:color="auto" w:fill="auto"/>
          </w:tcPr>
          <w:p w:rsidR="001D73D5" w:rsidRPr="00207EA4" w:rsidRDefault="001D73D5" w:rsidP="005A7DD8">
            <w:pPr>
              <w:numPr>
                <w:ilvl w:val="12"/>
                <w:numId w:val="0"/>
              </w:numPr>
              <w:tabs>
                <w:tab w:val="left" w:pos="29"/>
              </w:tabs>
              <w:spacing w:before="120" w:after="120"/>
              <w:ind w:left="29"/>
              <w:rPr>
                <w:rFonts w:ascii="Arial" w:eastAsia="Times New Roman" w:hAnsi="Arial" w:cs="Arial"/>
                <w:b/>
                <w:sz w:val="20"/>
                <w:szCs w:val="20"/>
              </w:rPr>
            </w:pPr>
            <w:r w:rsidRPr="00207EA4">
              <w:rPr>
                <w:rFonts w:ascii="Arial" w:eastAsia="Times New Roman" w:hAnsi="Arial" w:cs="Arial"/>
                <w:b/>
                <w:sz w:val="20"/>
                <w:szCs w:val="20"/>
              </w:rPr>
              <w:t>Catastrophic</w:t>
            </w:r>
          </w:p>
        </w:tc>
        <w:tc>
          <w:tcPr>
            <w:tcW w:w="5103" w:type="dxa"/>
            <w:shd w:val="clear" w:color="auto" w:fill="auto"/>
          </w:tcPr>
          <w:p w:rsidR="001D73D5" w:rsidRPr="00207EA4" w:rsidRDefault="001D73D5" w:rsidP="005A7DD8">
            <w:pPr>
              <w:spacing w:before="120" w:after="120"/>
              <w:rPr>
                <w:rFonts w:ascii="Arial" w:eastAsia="Times New Roman" w:hAnsi="Arial" w:cs="Arial"/>
                <w:sz w:val="20"/>
                <w:szCs w:val="20"/>
              </w:rPr>
            </w:pPr>
            <w:r w:rsidRPr="00207EA4">
              <w:rPr>
                <w:rFonts w:ascii="Arial" w:eastAsia="Times New Roman" w:hAnsi="Arial" w:cs="Arial"/>
                <w:sz w:val="20"/>
                <w:szCs w:val="20"/>
              </w:rPr>
              <w:t>An extreme potential to threaten the sustainability of GGA or its aims and activities. These are defined as:</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Governance: e.g. a sustained reputational or le.g.al damage with potential to lead to the collapse/closure of Girl Guides (at a national level or state level); inability of Girl Guides capacity to operate and WAGGGS cancellation of membership of WAGGGS; very serious damage to the reputation.</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(Activity of Guiding): e.g. program / activity that if interrupted has the potential to threaten GGA viability.</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People: e.g. no members; death of more than 5 participants in single but similar activities such as all are abseiling incidents.</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 xml:space="preserve">Financial: e.g. land and assets; insolvency and bankruptcy. </w:t>
            </w:r>
          </w:p>
          <w:p w:rsidR="001D73D5" w:rsidRPr="00207EA4" w:rsidRDefault="001D73D5" w:rsidP="001D73D5">
            <w:pPr>
              <w:numPr>
                <w:ilvl w:val="0"/>
                <w:numId w:val="29"/>
              </w:numPr>
              <w:spacing w:before="120" w:after="120" w:line="276" w:lineRule="auto"/>
              <w:rPr>
                <w:rFonts w:ascii="Arial" w:eastAsia="Times New Roman" w:hAnsi="Arial" w:cs="Arial"/>
                <w:sz w:val="20"/>
                <w:szCs w:val="20"/>
              </w:rPr>
            </w:pPr>
            <w:r w:rsidRPr="00207EA4">
              <w:rPr>
                <w:rFonts w:ascii="Arial" w:eastAsia="Times New Roman" w:hAnsi="Arial" w:cs="Arial"/>
                <w:sz w:val="20"/>
                <w:szCs w:val="20"/>
              </w:rPr>
              <w:t>Guiding Operations (Business of Guiding): e.g. non-compliance of Corporations Act resulting in delisting as a recognised entity.</w:t>
            </w:r>
          </w:p>
        </w:tc>
      </w:tr>
    </w:tbl>
    <w:p w:rsidR="006C7F88" w:rsidRPr="00207EA4" w:rsidRDefault="006C7F88">
      <w:pPr>
        <w:rPr>
          <w:rFonts w:ascii="Arial" w:hAnsi="Arial" w:cs="Arial"/>
          <w:sz w:val="20"/>
          <w:szCs w:val="20"/>
        </w:rPr>
      </w:pPr>
    </w:p>
    <w:p w:rsidR="006C7F88" w:rsidRPr="00207EA4" w:rsidRDefault="006C7F88" w:rsidP="006C7F88">
      <w:pPr>
        <w:rPr>
          <w:rFonts w:ascii="Arial" w:hAnsi="Arial" w:cs="Arial"/>
          <w:sz w:val="20"/>
          <w:szCs w:val="20"/>
        </w:rPr>
      </w:pPr>
    </w:p>
    <w:p w:rsidR="006C7F88" w:rsidRPr="00207EA4" w:rsidRDefault="006C7F88" w:rsidP="006C7F88">
      <w:pPr>
        <w:rPr>
          <w:rFonts w:ascii="Arial" w:hAnsi="Arial" w:cs="Arial"/>
          <w:sz w:val="20"/>
          <w:szCs w:val="20"/>
        </w:rPr>
      </w:pPr>
    </w:p>
    <w:p w:rsidR="00B514BA" w:rsidRDefault="00B514BA" w:rsidP="00C6362F">
      <w:pPr>
        <w:pStyle w:val="Heading4"/>
        <w:rPr>
          <w:rFonts w:ascii="Arial" w:hAnsi="Arial" w:cs="Arial"/>
          <w:color w:val="0033A1"/>
          <w:sz w:val="20"/>
          <w:szCs w:val="20"/>
        </w:rPr>
      </w:pPr>
    </w:p>
    <w:p w:rsidR="00B514BA" w:rsidRDefault="00B514BA" w:rsidP="00C6362F">
      <w:pPr>
        <w:pStyle w:val="Heading4"/>
        <w:rPr>
          <w:rFonts w:ascii="Arial" w:hAnsi="Arial" w:cs="Arial"/>
          <w:color w:val="0033A1"/>
          <w:sz w:val="20"/>
          <w:szCs w:val="20"/>
        </w:rPr>
      </w:pPr>
    </w:p>
    <w:p w:rsidR="006C7F88" w:rsidRDefault="006C7F88" w:rsidP="006E14DD">
      <w:pPr>
        <w:pStyle w:val="Heading4"/>
        <w:spacing w:before="0" w:beforeAutospacing="0" w:after="120" w:afterAutospacing="0"/>
        <w:rPr>
          <w:rFonts w:ascii="Arial" w:hAnsi="Arial" w:cs="Arial"/>
          <w:color w:val="0033A1"/>
          <w:sz w:val="20"/>
          <w:szCs w:val="20"/>
        </w:rPr>
      </w:pPr>
      <w:r w:rsidRPr="00DD6084">
        <w:rPr>
          <w:rFonts w:ascii="Arial" w:hAnsi="Arial" w:cs="Arial"/>
          <w:color w:val="0033A1"/>
          <w:sz w:val="20"/>
          <w:szCs w:val="20"/>
        </w:rPr>
        <w:t>TABLE 2 Likelihood Rating Table</w:t>
      </w:r>
    </w:p>
    <w:p w:rsidR="006E14DD" w:rsidRPr="00DD6084" w:rsidRDefault="006E14DD" w:rsidP="006E14DD">
      <w:pPr>
        <w:pStyle w:val="Heading4"/>
        <w:spacing w:before="0" w:beforeAutospacing="0" w:after="0" w:afterAutospacing="0"/>
        <w:rPr>
          <w:rFonts w:ascii="Arial" w:hAnsi="Arial" w:cs="Arial"/>
          <w:color w:val="0033A1"/>
          <w:sz w:val="20"/>
          <w:szCs w:val="20"/>
        </w:rPr>
      </w:pPr>
    </w:p>
    <w:tbl>
      <w:tblPr>
        <w:tblpPr w:leftFromText="180" w:rightFromText="180" w:vertAnchor="text" w:horzAnchor="margin" w:tblpXSpec="center" w:tblpY="182"/>
        <w:tblW w:w="6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05"/>
        <w:gridCol w:w="4672"/>
      </w:tblGrid>
      <w:tr w:rsidR="006C7F88" w:rsidRPr="00207EA4" w:rsidTr="006C7F88">
        <w:trPr>
          <w:trHeight w:hRule="exact" w:val="450"/>
        </w:trPr>
        <w:tc>
          <w:tcPr>
            <w:tcW w:w="0" w:type="auto"/>
            <w:shd w:val="clear" w:color="auto" w:fill="C6CFE9"/>
            <w:vAlign w:val="center"/>
          </w:tcPr>
          <w:p w:rsidR="006C7F88" w:rsidRPr="00207EA4" w:rsidRDefault="006C7F88" w:rsidP="006C7F88">
            <w:pPr>
              <w:spacing w:before="79"/>
              <w:ind w:left="81" w:right="-20"/>
              <w:jc w:val="center"/>
              <w:rPr>
                <w:rFonts w:ascii="Arial" w:eastAsia="Arial" w:hAnsi="Arial" w:cs="Arial"/>
                <w:sz w:val="20"/>
                <w:szCs w:val="20"/>
              </w:rPr>
            </w:pPr>
            <w:r w:rsidRPr="00207EA4">
              <w:rPr>
                <w:rFonts w:ascii="Arial" w:eastAsia="Arial" w:hAnsi="Arial" w:cs="Arial"/>
                <w:b/>
                <w:bCs/>
                <w:color w:val="231F20"/>
                <w:sz w:val="20"/>
                <w:szCs w:val="20"/>
              </w:rPr>
              <w:t>LIKELIHOOD</w:t>
            </w:r>
          </w:p>
        </w:tc>
        <w:tc>
          <w:tcPr>
            <w:tcW w:w="0" w:type="auto"/>
            <w:shd w:val="clear" w:color="auto" w:fill="C6CFE9"/>
            <w:vAlign w:val="center"/>
          </w:tcPr>
          <w:p w:rsidR="006C7F88" w:rsidRPr="00207EA4" w:rsidRDefault="006C7F88" w:rsidP="006C7F88">
            <w:pPr>
              <w:spacing w:before="79"/>
              <w:ind w:right="-20"/>
              <w:jc w:val="center"/>
              <w:rPr>
                <w:rFonts w:ascii="Arial" w:eastAsia="Arial" w:hAnsi="Arial" w:cs="Arial"/>
                <w:sz w:val="20"/>
                <w:szCs w:val="20"/>
              </w:rPr>
            </w:pPr>
            <w:r w:rsidRPr="00207EA4">
              <w:rPr>
                <w:rFonts w:ascii="Arial" w:eastAsia="Arial" w:hAnsi="Arial" w:cs="Arial"/>
                <w:b/>
                <w:bCs/>
                <w:color w:val="231F20"/>
                <w:sz w:val="20"/>
                <w:szCs w:val="20"/>
              </w:rPr>
              <w:t>DESCRIPTION</w:t>
            </w:r>
          </w:p>
        </w:tc>
      </w:tr>
      <w:tr w:rsidR="006C7F88" w:rsidRPr="00207EA4" w:rsidTr="006C7F88">
        <w:trPr>
          <w:trHeight w:hRule="exact" w:val="1010"/>
        </w:trPr>
        <w:tc>
          <w:tcPr>
            <w:tcW w:w="0" w:type="auto"/>
            <w:vAlign w:val="center"/>
          </w:tcPr>
          <w:p w:rsidR="006C7F88" w:rsidRPr="00207EA4" w:rsidRDefault="006C7F88" w:rsidP="006C7F88">
            <w:pPr>
              <w:pStyle w:val="BlockText"/>
              <w:numPr>
                <w:ilvl w:val="12"/>
                <w:numId w:val="0"/>
              </w:numPr>
              <w:tabs>
                <w:tab w:val="left" w:pos="29"/>
              </w:tabs>
              <w:spacing w:before="120" w:after="120" w:line="276" w:lineRule="auto"/>
              <w:ind w:left="29"/>
              <w:jc w:val="center"/>
              <w:rPr>
                <w:rFonts w:ascii="Arial" w:hAnsi="Arial" w:cs="Arial"/>
                <w:b/>
                <w:sz w:val="20"/>
              </w:rPr>
            </w:pPr>
            <w:r w:rsidRPr="00207EA4">
              <w:rPr>
                <w:rFonts w:ascii="Arial" w:hAnsi="Arial" w:cs="Arial"/>
                <w:b/>
                <w:sz w:val="20"/>
              </w:rPr>
              <w:t>Almost Certain</w:t>
            </w:r>
          </w:p>
        </w:tc>
        <w:tc>
          <w:tcPr>
            <w:tcW w:w="0" w:type="auto"/>
            <w:vAlign w:val="center"/>
          </w:tcPr>
          <w:p w:rsidR="006C7F88" w:rsidRPr="00207EA4" w:rsidRDefault="006C7F88" w:rsidP="006C7F88">
            <w:pPr>
              <w:pStyle w:val="BlockText"/>
              <w:numPr>
                <w:ilvl w:val="12"/>
                <w:numId w:val="0"/>
              </w:numPr>
              <w:spacing w:before="120" w:after="120" w:line="276" w:lineRule="auto"/>
              <w:ind w:left="34"/>
              <w:jc w:val="left"/>
              <w:rPr>
                <w:rFonts w:ascii="Arial" w:hAnsi="Arial" w:cs="Arial"/>
                <w:sz w:val="20"/>
              </w:rPr>
            </w:pPr>
            <w:r w:rsidRPr="00207EA4">
              <w:rPr>
                <w:rFonts w:ascii="Arial" w:hAnsi="Arial" w:cs="Arial"/>
                <w:sz w:val="20"/>
              </w:rPr>
              <w:t>The event is expected to occur in most circumstances.</w:t>
            </w:r>
            <w:r w:rsidRPr="00207EA4">
              <w:rPr>
                <w:rFonts w:ascii="Arial" w:hAnsi="Arial" w:cs="Arial"/>
                <w:color w:val="000000"/>
                <w:kern w:val="24"/>
                <w:sz w:val="20"/>
                <w:lang w:val="en-US" w:eastAsia="en-AU"/>
              </w:rPr>
              <w:t xml:space="preserve"> </w:t>
            </w:r>
            <w:r w:rsidRPr="00207EA4">
              <w:rPr>
                <w:rFonts w:ascii="Arial" w:hAnsi="Arial" w:cs="Arial"/>
                <w:sz w:val="20"/>
                <w:lang w:val="en-US"/>
              </w:rPr>
              <w:t>(At least 5 times a year)</w:t>
            </w:r>
          </w:p>
        </w:tc>
      </w:tr>
      <w:tr w:rsidR="006C7F88" w:rsidRPr="00207EA4" w:rsidTr="006C7F88">
        <w:trPr>
          <w:trHeight w:hRule="exact" w:val="657"/>
        </w:trPr>
        <w:tc>
          <w:tcPr>
            <w:tcW w:w="0" w:type="auto"/>
            <w:vAlign w:val="center"/>
          </w:tcPr>
          <w:p w:rsidR="006C7F88" w:rsidRPr="00207EA4" w:rsidRDefault="006C7F88" w:rsidP="006C7F88">
            <w:pPr>
              <w:pStyle w:val="BlockText"/>
              <w:numPr>
                <w:ilvl w:val="12"/>
                <w:numId w:val="0"/>
              </w:numPr>
              <w:tabs>
                <w:tab w:val="left" w:pos="29"/>
              </w:tabs>
              <w:spacing w:before="120" w:after="120" w:line="276" w:lineRule="auto"/>
              <w:ind w:left="29"/>
              <w:jc w:val="center"/>
              <w:rPr>
                <w:rFonts w:ascii="Arial" w:hAnsi="Arial" w:cs="Arial"/>
                <w:b/>
                <w:sz w:val="20"/>
              </w:rPr>
            </w:pPr>
            <w:r w:rsidRPr="00207EA4">
              <w:rPr>
                <w:rFonts w:ascii="Arial" w:hAnsi="Arial" w:cs="Arial"/>
                <w:b/>
                <w:sz w:val="20"/>
              </w:rPr>
              <w:t>Likely</w:t>
            </w:r>
          </w:p>
        </w:tc>
        <w:tc>
          <w:tcPr>
            <w:tcW w:w="0" w:type="auto"/>
            <w:vAlign w:val="center"/>
          </w:tcPr>
          <w:p w:rsidR="006C7F88" w:rsidRPr="00207EA4" w:rsidRDefault="006C7F88" w:rsidP="006C7F88">
            <w:pPr>
              <w:pStyle w:val="BlockText"/>
              <w:numPr>
                <w:ilvl w:val="12"/>
                <w:numId w:val="0"/>
              </w:numPr>
              <w:spacing w:line="276" w:lineRule="auto"/>
              <w:ind w:left="34"/>
              <w:jc w:val="left"/>
              <w:rPr>
                <w:rFonts w:ascii="Arial" w:hAnsi="Arial" w:cs="Arial"/>
                <w:sz w:val="20"/>
              </w:rPr>
            </w:pPr>
            <w:r w:rsidRPr="00207EA4">
              <w:rPr>
                <w:rFonts w:ascii="Arial" w:hAnsi="Arial" w:cs="Arial"/>
                <w:sz w:val="20"/>
              </w:rPr>
              <w:t>The event will probably occur in most circumstances. (At least twice a year)</w:t>
            </w:r>
          </w:p>
        </w:tc>
      </w:tr>
      <w:tr w:rsidR="006C7F88" w:rsidRPr="00207EA4" w:rsidTr="006C7F88">
        <w:trPr>
          <w:trHeight w:hRule="exact" w:val="651"/>
        </w:trPr>
        <w:tc>
          <w:tcPr>
            <w:tcW w:w="0" w:type="auto"/>
            <w:vAlign w:val="center"/>
          </w:tcPr>
          <w:p w:rsidR="006C7F88" w:rsidRPr="00207EA4" w:rsidRDefault="006C7F88" w:rsidP="006C7F88">
            <w:pPr>
              <w:pStyle w:val="BlockText"/>
              <w:numPr>
                <w:ilvl w:val="12"/>
                <w:numId w:val="0"/>
              </w:numPr>
              <w:tabs>
                <w:tab w:val="left" w:pos="29"/>
              </w:tabs>
              <w:spacing w:before="120" w:after="120" w:line="276" w:lineRule="auto"/>
              <w:ind w:left="29"/>
              <w:jc w:val="center"/>
              <w:rPr>
                <w:rFonts w:ascii="Arial" w:hAnsi="Arial" w:cs="Arial"/>
                <w:b/>
                <w:sz w:val="20"/>
              </w:rPr>
            </w:pPr>
            <w:r w:rsidRPr="00207EA4">
              <w:rPr>
                <w:rFonts w:ascii="Arial" w:hAnsi="Arial" w:cs="Arial"/>
                <w:b/>
                <w:sz w:val="20"/>
              </w:rPr>
              <w:t>Possible</w:t>
            </w:r>
          </w:p>
        </w:tc>
        <w:tc>
          <w:tcPr>
            <w:tcW w:w="0" w:type="auto"/>
            <w:vAlign w:val="center"/>
          </w:tcPr>
          <w:p w:rsidR="006C7F88" w:rsidRPr="00207EA4" w:rsidRDefault="006C7F88" w:rsidP="006C7F88">
            <w:pPr>
              <w:pStyle w:val="BlockText"/>
              <w:numPr>
                <w:ilvl w:val="12"/>
                <w:numId w:val="0"/>
              </w:numPr>
              <w:spacing w:before="120" w:after="120" w:line="276" w:lineRule="auto"/>
              <w:ind w:left="34"/>
              <w:jc w:val="left"/>
              <w:rPr>
                <w:rFonts w:ascii="Arial" w:hAnsi="Arial" w:cs="Arial"/>
                <w:sz w:val="20"/>
              </w:rPr>
            </w:pPr>
            <w:r w:rsidRPr="00207EA4">
              <w:rPr>
                <w:rFonts w:ascii="Arial" w:hAnsi="Arial" w:cs="Arial"/>
                <w:sz w:val="20"/>
              </w:rPr>
              <w:t>The event might (or could) occur at some time.</w:t>
            </w:r>
            <w:r w:rsidRPr="00207EA4">
              <w:rPr>
                <w:rFonts w:ascii="Arial" w:hAnsi="Arial" w:cs="Arial"/>
                <w:color w:val="000000"/>
                <w:kern w:val="24"/>
                <w:sz w:val="20"/>
                <w:lang w:val="en-US" w:eastAsia="en-AU"/>
              </w:rPr>
              <w:t xml:space="preserve"> </w:t>
            </w:r>
            <w:r w:rsidRPr="00207EA4">
              <w:rPr>
                <w:rFonts w:ascii="Arial" w:hAnsi="Arial" w:cs="Arial"/>
                <w:sz w:val="20"/>
                <w:lang w:val="en-US"/>
              </w:rPr>
              <w:t>(At least once a year)</w:t>
            </w:r>
          </w:p>
        </w:tc>
      </w:tr>
      <w:tr w:rsidR="006C7F88" w:rsidRPr="00207EA4" w:rsidTr="006C7F88">
        <w:trPr>
          <w:trHeight w:hRule="exact" w:val="683"/>
        </w:trPr>
        <w:tc>
          <w:tcPr>
            <w:tcW w:w="0" w:type="auto"/>
            <w:vAlign w:val="center"/>
          </w:tcPr>
          <w:p w:rsidR="006C7F88" w:rsidRPr="00207EA4" w:rsidRDefault="006C7F88" w:rsidP="006C7F88">
            <w:pPr>
              <w:pStyle w:val="BlockText"/>
              <w:numPr>
                <w:ilvl w:val="12"/>
                <w:numId w:val="0"/>
              </w:numPr>
              <w:tabs>
                <w:tab w:val="left" w:pos="29"/>
              </w:tabs>
              <w:spacing w:before="120" w:after="120" w:line="276" w:lineRule="auto"/>
              <w:ind w:left="29"/>
              <w:jc w:val="center"/>
              <w:rPr>
                <w:rFonts w:ascii="Arial" w:hAnsi="Arial" w:cs="Arial"/>
                <w:b/>
                <w:sz w:val="20"/>
              </w:rPr>
            </w:pPr>
            <w:r w:rsidRPr="00207EA4">
              <w:rPr>
                <w:rFonts w:ascii="Arial" w:hAnsi="Arial" w:cs="Arial"/>
                <w:b/>
                <w:sz w:val="20"/>
              </w:rPr>
              <w:t>Unlikely</w:t>
            </w:r>
          </w:p>
        </w:tc>
        <w:tc>
          <w:tcPr>
            <w:tcW w:w="0" w:type="auto"/>
            <w:vAlign w:val="center"/>
          </w:tcPr>
          <w:p w:rsidR="006C7F88" w:rsidRPr="00207EA4" w:rsidRDefault="006C7F88" w:rsidP="006C7F88">
            <w:pPr>
              <w:pStyle w:val="BlockText"/>
              <w:numPr>
                <w:ilvl w:val="12"/>
                <w:numId w:val="0"/>
              </w:numPr>
              <w:spacing w:before="120" w:after="120" w:line="276" w:lineRule="auto"/>
              <w:ind w:left="34"/>
              <w:jc w:val="left"/>
              <w:rPr>
                <w:rFonts w:ascii="Arial" w:hAnsi="Arial" w:cs="Arial"/>
                <w:sz w:val="20"/>
              </w:rPr>
            </w:pPr>
            <w:r w:rsidRPr="00207EA4">
              <w:rPr>
                <w:rFonts w:ascii="Arial" w:hAnsi="Arial" w:cs="Arial"/>
                <w:sz w:val="20"/>
              </w:rPr>
              <w:t>The event will probably not occur. (At least once in five years)</w:t>
            </w:r>
          </w:p>
        </w:tc>
      </w:tr>
      <w:tr w:rsidR="006C7F88" w:rsidRPr="00207EA4" w:rsidTr="006C7F88">
        <w:trPr>
          <w:trHeight w:hRule="exact" w:val="663"/>
        </w:trPr>
        <w:tc>
          <w:tcPr>
            <w:tcW w:w="0" w:type="auto"/>
            <w:vAlign w:val="center"/>
          </w:tcPr>
          <w:p w:rsidR="006C7F88" w:rsidRPr="00207EA4" w:rsidRDefault="006C7F88" w:rsidP="006C7F88">
            <w:pPr>
              <w:pStyle w:val="BlockText"/>
              <w:numPr>
                <w:ilvl w:val="12"/>
                <w:numId w:val="0"/>
              </w:numPr>
              <w:tabs>
                <w:tab w:val="left" w:pos="29"/>
              </w:tabs>
              <w:spacing w:before="120" w:after="120" w:line="276" w:lineRule="auto"/>
              <w:ind w:left="29"/>
              <w:jc w:val="center"/>
              <w:rPr>
                <w:rFonts w:ascii="Arial" w:hAnsi="Arial" w:cs="Arial"/>
                <w:b/>
                <w:sz w:val="20"/>
              </w:rPr>
            </w:pPr>
            <w:r w:rsidRPr="00207EA4">
              <w:rPr>
                <w:rFonts w:ascii="Arial" w:hAnsi="Arial" w:cs="Arial"/>
                <w:b/>
                <w:sz w:val="20"/>
              </w:rPr>
              <w:t>Rare</w:t>
            </w:r>
          </w:p>
        </w:tc>
        <w:tc>
          <w:tcPr>
            <w:tcW w:w="0" w:type="auto"/>
            <w:vAlign w:val="center"/>
          </w:tcPr>
          <w:p w:rsidR="006C7F88" w:rsidRPr="00207EA4" w:rsidRDefault="006C7F88" w:rsidP="006C7F88">
            <w:pPr>
              <w:pStyle w:val="BlockText"/>
              <w:numPr>
                <w:ilvl w:val="12"/>
                <w:numId w:val="0"/>
              </w:numPr>
              <w:spacing w:before="120" w:after="120" w:line="276" w:lineRule="auto"/>
              <w:ind w:left="34"/>
              <w:jc w:val="left"/>
              <w:rPr>
                <w:rFonts w:ascii="Arial" w:hAnsi="Arial" w:cs="Arial"/>
                <w:sz w:val="20"/>
              </w:rPr>
            </w:pPr>
            <w:r w:rsidRPr="00207EA4">
              <w:rPr>
                <w:rFonts w:ascii="Arial" w:hAnsi="Arial" w:cs="Arial"/>
                <w:sz w:val="20"/>
              </w:rPr>
              <w:t>The event may only occur in exceptional circumstances</w:t>
            </w:r>
          </w:p>
        </w:tc>
      </w:tr>
    </w:tbl>
    <w:p w:rsidR="006C7F88" w:rsidRPr="00207EA4" w:rsidRDefault="006C7F88" w:rsidP="006C7F88">
      <w:pPr>
        <w:spacing w:before="24"/>
        <w:ind w:right="-20"/>
        <w:jc w:val="center"/>
        <w:rPr>
          <w:rFonts w:ascii="Arial" w:eastAsia="GillSans" w:hAnsi="Arial" w:cs="Arial"/>
          <w:color w:val="005DAA"/>
          <w:w w:val="96"/>
          <w:sz w:val="20"/>
          <w:szCs w:val="20"/>
        </w:rPr>
      </w:pPr>
    </w:p>
    <w:p w:rsidR="006E14DD" w:rsidRDefault="006E14DD">
      <w:pPr>
        <w:rPr>
          <w:rFonts w:ascii="Arial" w:hAnsi="Arial" w:cs="Arial"/>
          <w:sz w:val="20"/>
          <w:szCs w:val="20"/>
        </w:rPr>
      </w:pPr>
      <w:r>
        <w:rPr>
          <w:rFonts w:ascii="Arial" w:hAnsi="Arial" w:cs="Arial"/>
          <w:sz w:val="20"/>
          <w:szCs w:val="20"/>
        </w:rPr>
        <w:br w:type="page"/>
      </w:r>
    </w:p>
    <w:p w:rsidR="006C7F88" w:rsidRPr="00207EA4" w:rsidRDefault="006C7F88">
      <w:pPr>
        <w:rPr>
          <w:rFonts w:ascii="Arial" w:hAnsi="Arial" w:cs="Arial"/>
          <w:sz w:val="20"/>
          <w:szCs w:val="20"/>
        </w:rPr>
      </w:pPr>
    </w:p>
    <w:p w:rsidR="006C7F88" w:rsidRPr="00B514BA" w:rsidRDefault="00B514BA" w:rsidP="006E14DD">
      <w:pPr>
        <w:spacing w:after="120"/>
        <w:rPr>
          <w:rFonts w:ascii="Arial" w:hAnsi="Arial" w:cs="Arial"/>
          <w:b/>
          <w:color w:val="0033A1"/>
          <w:sz w:val="20"/>
          <w:szCs w:val="20"/>
        </w:rPr>
      </w:pPr>
      <w:r w:rsidRPr="00B514BA">
        <w:rPr>
          <w:rFonts w:ascii="Arial" w:hAnsi="Arial" w:cs="Arial"/>
          <w:b/>
          <w:color w:val="0033A1"/>
          <w:sz w:val="20"/>
          <w:szCs w:val="20"/>
        </w:rPr>
        <w:t>TA</w:t>
      </w:r>
      <w:r w:rsidR="006C7F88" w:rsidRPr="00B514BA">
        <w:rPr>
          <w:rFonts w:ascii="Arial" w:hAnsi="Arial" w:cs="Arial"/>
          <w:b/>
          <w:color w:val="0033A1"/>
          <w:sz w:val="20"/>
          <w:szCs w:val="20"/>
        </w:rPr>
        <w:t>BLE 3 Risk Analysis Matrix</w:t>
      </w:r>
    </w:p>
    <w:p w:rsidR="006C7F88" w:rsidRPr="00207EA4" w:rsidRDefault="006C7F88">
      <w:pPr>
        <w:rPr>
          <w:rFonts w:ascii="Arial" w:hAnsi="Arial" w:cs="Arial"/>
          <w:sz w:val="20"/>
          <w:szCs w:val="20"/>
        </w:rPr>
      </w:pPr>
    </w:p>
    <w:tbl>
      <w:tblPr>
        <w:tblpPr w:leftFromText="180" w:rightFromText="180" w:vertAnchor="text" w:horzAnchor="margin"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20"/>
        <w:gridCol w:w="864"/>
        <w:gridCol w:w="864"/>
        <w:gridCol w:w="864"/>
        <w:gridCol w:w="901"/>
        <w:gridCol w:w="901"/>
      </w:tblGrid>
      <w:tr w:rsidR="006C7F88" w:rsidRPr="00207EA4" w:rsidTr="00DD6084">
        <w:trPr>
          <w:trHeight w:hRule="exact" w:val="820"/>
        </w:trPr>
        <w:tc>
          <w:tcPr>
            <w:tcW w:w="0" w:type="auto"/>
            <w:vMerge w:val="restart"/>
            <w:shd w:val="clear" w:color="auto" w:fill="C6CFE9"/>
            <w:textDirection w:val="tbRl"/>
          </w:tcPr>
          <w:p w:rsidR="006C7F88" w:rsidRPr="00207EA4" w:rsidRDefault="006C7F88" w:rsidP="006C7F88">
            <w:pPr>
              <w:spacing w:before="5" w:line="140" w:lineRule="exact"/>
              <w:ind w:left="113" w:right="113"/>
              <w:rPr>
                <w:rFonts w:ascii="Arial" w:hAnsi="Arial" w:cs="Arial"/>
                <w:sz w:val="20"/>
                <w:szCs w:val="20"/>
              </w:rPr>
            </w:pPr>
          </w:p>
          <w:p w:rsidR="006C7F88" w:rsidRPr="00207EA4" w:rsidRDefault="006C7F88" w:rsidP="006C7F88">
            <w:pPr>
              <w:spacing w:line="200" w:lineRule="exact"/>
              <w:ind w:left="113" w:right="113"/>
              <w:rPr>
                <w:rFonts w:ascii="Arial" w:hAnsi="Arial" w:cs="Arial"/>
                <w:sz w:val="20"/>
                <w:szCs w:val="20"/>
              </w:rPr>
            </w:pPr>
          </w:p>
          <w:p w:rsidR="00DD6084" w:rsidRDefault="00DD6084" w:rsidP="00F4282A">
            <w:pPr>
              <w:ind w:left="426" w:right="200" w:hanging="205"/>
              <w:rPr>
                <w:rFonts w:ascii="Arial" w:eastAsia="Arial" w:hAnsi="Arial" w:cs="Arial"/>
                <w:b/>
                <w:bCs/>
                <w:color w:val="231F20"/>
                <w:sz w:val="20"/>
                <w:szCs w:val="20"/>
              </w:rPr>
            </w:pPr>
          </w:p>
          <w:p w:rsidR="006C7F88" w:rsidRPr="00207EA4" w:rsidRDefault="006C7F88" w:rsidP="00F4282A">
            <w:pPr>
              <w:ind w:left="426" w:right="200" w:hanging="205"/>
              <w:rPr>
                <w:rFonts w:ascii="Arial" w:eastAsia="Arial" w:hAnsi="Arial" w:cs="Arial"/>
                <w:sz w:val="20"/>
                <w:szCs w:val="20"/>
              </w:rPr>
            </w:pPr>
            <w:r w:rsidRPr="00207EA4">
              <w:rPr>
                <w:rFonts w:ascii="Arial" w:eastAsia="Arial" w:hAnsi="Arial" w:cs="Arial"/>
                <w:b/>
                <w:bCs/>
                <w:color w:val="231F20"/>
                <w:sz w:val="20"/>
                <w:szCs w:val="20"/>
              </w:rPr>
              <w:t>LIKELIHOOD R</w:t>
            </w:r>
            <w:r w:rsidRPr="00207EA4">
              <w:rPr>
                <w:rFonts w:ascii="Arial" w:eastAsia="Arial" w:hAnsi="Arial" w:cs="Arial"/>
                <w:b/>
                <w:bCs/>
                <w:color w:val="231F20"/>
                <w:spacing w:val="-13"/>
                <w:sz w:val="20"/>
                <w:szCs w:val="20"/>
              </w:rPr>
              <w:t>A</w:t>
            </w:r>
            <w:r w:rsidRPr="00207EA4">
              <w:rPr>
                <w:rFonts w:ascii="Arial" w:eastAsia="Arial" w:hAnsi="Arial" w:cs="Arial"/>
                <w:b/>
                <w:bCs/>
                <w:color w:val="231F20"/>
                <w:sz w:val="20"/>
                <w:szCs w:val="20"/>
              </w:rPr>
              <w:t>TING</w:t>
            </w:r>
          </w:p>
        </w:tc>
        <w:tc>
          <w:tcPr>
            <w:tcW w:w="0" w:type="auto"/>
            <w:gridSpan w:val="5"/>
            <w:shd w:val="clear" w:color="auto" w:fill="C6CFE9"/>
          </w:tcPr>
          <w:p w:rsidR="006C7F88" w:rsidRPr="00207EA4" w:rsidRDefault="006C7F88" w:rsidP="00DD6084">
            <w:pPr>
              <w:spacing w:before="82"/>
              <w:ind w:right="-20"/>
              <w:jc w:val="center"/>
              <w:rPr>
                <w:rFonts w:ascii="Arial" w:eastAsia="Arial" w:hAnsi="Arial" w:cs="Arial"/>
                <w:sz w:val="20"/>
                <w:szCs w:val="20"/>
              </w:rPr>
            </w:pPr>
            <w:r w:rsidRPr="00207EA4">
              <w:rPr>
                <w:rFonts w:ascii="Arial" w:eastAsia="Arial" w:hAnsi="Arial" w:cs="Arial"/>
                <w:b/>
                <w:bCs/>
                <w:color w:val="231F20"/>
                <w:sz w:val="20"/>
                <w:szCs w:val="20"/>
              </w:rPr>
              <w:t>CONSEQUENCES – what</w:t>
            </w:r>
            <w:r w:rsidRPr="00207EA4">
              <w:rPr>
                <w:rFonts w:ascii="Arial" w:eastAsia="Arial" w:hAnsi="Arial" w:cs="Arial"/>
                <w:b/>
                <w:bCs/>
                <w:color w:val="231F20"/>
                <w:spacing w:val="-4"/>
                <w:sz w:val="20"/>
                <w:szCs w:val="20"/>
              </w:rPr>
              <w:t xml:space="preserve"> </w:t>
            </w:r>
            <w:r w:rsidRPr="00207EA4">
              <w:rPr>
                <w:rFonts w:ascii="Arial" w:eastAsia="Arial" w:hAnsi="Arial" w:cs="Arial"/>
                <w:b/>
                <w:bCs/>
                <w:color w:val="231F20"/>
                <w:sz w:val="20"/>
                <w:szCs w:val="20"/>
              </w:rPr>
              <w:t>is</w:t>
            </w:r>
            <w:r w:rsidRPr="00207EA4">
              <w:rPr>
                <w:rFonts w:ascii="Arial" w:eastAsia="Arial" w:hAnsi="Arial" w:cs="Arial"/>
                <w:b/>
                <w:bCs/>
                <w:color w:val="231F20"/>
                <w:spacing w:val="-1"/>
                <w:sz w:val="20"/>
                <w:szCs w:val="20"/>
              </w:rPr>
              <w:t xml:space="preserve"> </w:t>
            </w:r>
            <w:r w:rsidRPr="00207EA4">
              <w:rPr>
                <w:rFonts w:ascii="Arial" w:eastAsia="Arial" w:hAnsi="Arial" w:cs="Arial"/>
                <w:b/>
                <w:bCs/>
                <w:color w:val="231F20"/>
                <w:sz w:val="20"/>
                <w:szCs w:val="20"/>
              </w:rPr>
              <w:t>the maximum reasonable consequence?</w:t>
            </w:r>
          </w:p>
        </w:tc>
      </w:tr>
      <w:tr w:rsidR="006C7F88" w:rsidRPr="00207EA4" w:rsidTr="006C7F88">
        <w:trPr>
          <w:cantSplit/>
          <w:trHeight w:hRule="exact" w:val="1672"/>
        </w:trPr>
        <w:tc>
          <w:tcPr>
            <w:tcW w:w="0" w:type="auto"/>
            <w:vMerge/>
            <w:shd w:val="clear" w:color="auto" w:fill="C6CFE9"/>
          </w:tcPr>
          <w:p w:rsidR="006C7F88" w:rsidRPr="00207EA4" w:rsidRDefault="006C7F88" w:rsidP="00F4282A">
            <w:pPr>
              <w:rPr>
                <w:rFonts w:ascii="Arial" w:hAnsi="Arial" w:cs="Arial"/>
                <w:sz w:val="20"/>
                <w:szCs w:val="20"/>
              </w:rPr>
            </w:pPr>
          </w:p>
        </w:tc>
        <w:tc>
          <w:tcPr>
            <w:tcW w:w="0" w:type="auto"/>
            <w:shd w:val="clear" w:color="auto" w:fill="E0E4F3"/>
            <w:textDirection w:val="tbRl"/>
            <w:vAlign w:val="center"/>
          </w:tcPr>
          <w:p w:rsidR="006C7F88" w:rsidRPr="00207EA4" w:rsidRDefault="006C7F88" w:rsidP="006C7F88">
            <w:pPr>
              <w:spacing w:before="39"/>
              <w:ind w:left="113" w:right="320"/>
              <w:jc w:val="center"/>
              <w:rPr>
                <w:rFonts w:ascii="Arial" w:eastAsia="Arial" w:hAnsi="Arial" w:cs="Arial"/>
                <w:b/>
                <w:sz w:val="20"/>
                <w:szCs w:val="20"/>
              </w:rPr>
            </w:pPr>
            <w:r w:rsidRPr="00207EA4">
              <w:rPr>
                <w:rFonts w:ascii="Arial" w:eastAsia="Arial" w:hAnsi="Arial" w:cs="Arial"/>
                <w:b/>
                <w:bCs/>
                <w:color w:val="231F20"/>
                <w:sz w:val="20"/>
                <w:szCs w:val="20"/>
              </w:rPr>
              <w:t>Insignificant</w:t>
            </w:r>
          </w:p>
        </w:tc>
        <w:tc>
          <w:tcPr>
            <w:tcW w:w="0" w:type="auto"/>
            <w:shd w:val="clear" w:color="auto" w:fill="E0E4F3"/>
            <w:textDirection w:val="tbRl"/>
            <w:vAlign w:val="center"/>
          </w:tcPr>
          <w:p w:rsidR="006C7F88" w:rsidRPr="00207EA4" w:rsidRDefault="006C7F88" w:rsidP="006C7F88">
            <w:pPr>
              <w:ind w:left="113" w:right="591"/>
              <w:jc w:val="center"/>
              <w:rPr>
                <w:rFonts w:ascii="Arial" w:eastAsia="Arial" w:hAnsi="Arial" w:cs="Arial"/>
                <w:b/>
                <w:sz w:val="20"/>
                <w:szCs w:val="20"/>
              </w:rPr>
            </w:pPr>
            <w:r w:rsidRPr="00207EA4">
              <w:rPr>
                <w:rFonts w:ascii="Arial" w:eastAsia="Arial" w:hAnsi="Arial" w:cs="Arial"/>
                <w:b/>
                <w:bCs/>
                <w:color w:val="231F20"/>
                <w:w w:val="99"/>
                <w:sz w:val="20"/>
                <w:szCs w:val="20"/>
              </w:rPr>
              <w:t>Minor</w:t>
            </w:r>
          </w:p>
        </w:tc>
        <w:tc>
          <w:tcPr>
            <w:tcW w:w="0" w:type="auto"/>
            <w:shd w:val="clear" w:color="auto" w:fill="E0E4F3"/>
            <w:textDirection w:val="tbRl"/>
            <w:vAlign w:val="center"/>
          </w:tcPr>
          <w:p w:rsidR="006C7F88" w:rsidRPr="00207EA4" w:rsidRDefault="006C7F88" w:rsidP="006C7F88">
            <w:pPr>
              <w:spacing w:before="9" w:line="100" w:lineRule="exact"/>
              <w:ind w:left="113" w:right="113"/>
              <w:jc w:val="center"/>
              <w:rPr>
                <w:rFonts w:ascii="Arial" w:hAnsi="Arial" w:cs="Arial"/>
                <w:b/>
                <w:sz w:val="20"/>
                <w:szCs w:val="20"/>
              </w:rPr>
            </w:pPr>
          </w:p>
          <w:p w:rsidR="006C7F88" w:rsidRPr="00207EA4" w:rsidRDefault="006C7F88" w:rsidP="006C7F88">
            <w:pPr>
              <w:spacing w:line="309" w:lineRule="auto"/>
              <w:ind w:left="82" w:right="90"/>
              <w:jc w:val="center"/>
              <w:rPr>
                <w:rFonts w:ascii="Arial" w:eastAsia="Arial" w:hAnsi="Arial" w:cs="Arial"/>
                <w:b/>
                <w:sz w:val="20"/>
                <w:szCs w:val="20"/>
              </w:rPr>
            </w:pPr>
            <w:r w:rsidRPr="00207EA4">
              <w:rPr>
                <w:rFonts w:ascii="Arial" w:eastAsia="Arial" w:hAnsi="Arial" w:cs="Arial"/>
                <w:b/>
                <w:bCs/>
                <w:color w:val="231F20"/>
                <w:sz w:val="20"/>
                <w:szCs w:val="20"/>
              </w:rPr>
              <w:t>Moderate</w:t>
            </w:r>
          </w:p>
        </w:tc>
        <w:tc>
          <w:tcPr>
            <w:tcW w:w="0" w:type="auto"/>
            <w:shd w:val="clear" w:color="auto" w:fill="E0E4F3"/>
            <w:textDirection w:val="tbRl"/>
            <w:vAlign w:val="center"/>
          </w:tcPr>
          <w:p w:rsidR="006C7F88" w:rsidRPr="00207EA4" w:rsidRDefault="006C7F88" w:rsidP="006C7F88">
            <w:pPr>
              <w:ind w:left="113" w:right="591"/>
              <w:jc w:val="center"/>
              <w:rPr>
                <w:rFonts w:ascii="Arial" w:eastAsia="Arial" w:hAnsi="Arial" w:cs="Arial"/>
                <w:b/>
                <w:sz w:val="20"/>
                <w:szCs w:val="20"/>
              </w:rPr>
            </w:pPr>
            <w:r w:rsidRPr="00207EA4">
              <w:rPr>
                <w:rFonts w:ascii="Arial" w:eastAsia="Arial" w:hAnsi="Arial" w:cs="Arial"/>
                <w:b/>
                <w:bCs/>
                <w:color w:val="231F20"/>
                <w:w w:val="99"/>
                <w:sz w:val="20"/>
                <w:szCs w:val="20"/>
              </w:rPr>
              <w:t>Major</w:t>
            </w:r>
          </w:p>
        </w:tc>
        <w:tc>
          <w:tcPr>
            <w:tcW w:w="0" w:type="auto"/>
            <w:shd w:val="clear" w:color="auto" w:fill="E0E4F3"/>
            <w:textDirection w:val="tbRl"/>
            <w:vAlign w:val="center"/>
          </w:tcPr>
          <w:p w:rsidR="006C7F88" w:rsidRPr="00207EA4" w:rsidRDefault="006C7F88" w:rsidP="006C7F88">
            <w:pPr>
              <w:spacing w:before="39"/>
              <w:ind w:left="113" w:right="301"/>
              <w:jc w:val="center"/>
              <w:rPr>
                <w:rFonts w:ascii="Arial" w:eastAsia="Arial" w:hAnsi="Arial" w:cs="Arial"/>
                <w:b/>
                <w:sz w:val="20"/>
                <w:szCs w:val="20"/>
              </w:rPr>
            </w:pPr>
            <w:r w:rsidRPr="00207EA4">
              <w:rPr>
                <w:rFonts w:ascii="Arial" w:eastAsia="Arial" w:hAnsi="Arial" w:cs="Arial"/>
                <w:b/>
                <w:bCs/>
                <w:color w:val="231F20"/>
                <w:sz w:val="20"/>
                <w:szCs w:val="20"/>
              </w:rPr>
              <w:t>Catastrophic</w:t>
            </w:r>
          </w:p>
        </w:tc>
      </w:tr>
      <w:tr w:rsidR="006C7F88" w:rsidRPr="00207EA4" w:rsidTr="00DD6084">
        <w:trPr>
          <w:trHeight w:hRule="exact" w:val="576"/>
        </w:trPr>
        <w:tc>
          <w:tcPr>
            <w:tcW w:w="0" w:type="auto"/>
            <w:shd w:val="clear" w:color="auto" w:fill="E0E4F3"/>
          </w:tcPr>
          <w:p w:rsidR="006C7F88" w:rsidRPr="00207EA4" w:rsidRDefault="006C7F88" w:rsidP="00DD6084">
            <w:pPr>
              <w:spacing w:before="79"/>
              <w:ind w:left="141" w:right="-20"/>
              <w:jc w:val="center"/>
              <w:rPr>
                <w:rFonts w:ascii="Arial" w:eastAsia="Arial" w:hAnsi="Arial" w:cs="Arial"/>
                <w:sz w:val="20"/>
                <w:szCs w:val="20"/>
              </w:rPr>
            </w:pPr>
            <w:r w:rsidRPr="00207EA4">
              <w:rPr>
                <w:rFonts w:ascii="Arial" w:eastAsia="Arial" w:hAnsi="Arial" w:cs="Arial"/>
                <w:b/>
                <w:bCs/>
                <w:color w:val="231F20"/>
                <w:sz w:val="20"/>
                <w:szCs w:val="20"/>
              </w:rPr>
              <w:t>Almost Certain</w:t>
            </w:r>
          </w:p>
        </w:tc>
        <w:tc>
          <w:tcPr>
            <w:tcW w:w="0" w:type="auto"/>
            <w:shd w:val="clear" w:color="auto" w:fill="92D05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Medium</w:t>
            </w:r>
          </w:p>
        </w:tc>
        <w:tc>
          <w:tcPr>
            <w:tcW w:w="0" w:type="auto"/>
            <w:shd w:val="clear" w:color="auto" w:fill="92D05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Medium</w:t>
            </w:r>
          </w:p>
        </w:tc>
        <w:tc>
          <w:tcPr>
            <w:tcW w:w="0" w:type="auto"/>
            <w:shd w:val="clear" w:color="auto" w:fill="FFC00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High</w:t>
            </w:r>
          </w:p>
        </w:tc>
        <w:tc>
          <w:tcPr>
            <w:tcW w:w="0" w:type="auto"/>
            <w:shd w:val="clear" w:color="auto" w:fill="FF000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Extreme</w:t>
            </w:r>
          </w:p>
        </w:tc>
        <w:tc>
          <w:tcPr>
            <w:tcW w:w="0" w:type="auto"/>
            <w:shd w:val="clear" w:color="auto" w:fill="FF000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Extreme</w:t>
            </w:r>
          </w:p>
        </w:tc>
      </w:tr>
      <w:tr w:rsidR="006C7F88" w:rsidRPr="00207EA4" w:rsidTr="006C7F88">
        <w:trPr>
          <w:trHeight w:hRule="exact" w:val="481"/>
        </w:trPr>
        <w:tc>
          <w:tcPr>
            <w:tcW w:w="0" w:type="auto"/>
            <w:shd w:val="clear" w:color="auto" w:fill="E0E4F3"/>
          </w:tcPr>
          <w:p w:rsidR="006C7F88" w:rsidRPr="00207EA4" w:rsidRDefault="006C7F88" w:rsidP="00F4282A">
            <w:pPr>
              <w:spacing w:before="79"/>
              <w:ind w:left="505" w:right="-20"/>
              <w:rPr>
                <w:rFonts w:ascii="Arial" w:eastAsia="Arial" w:hAnsi="Arial" w:cs="Arial"/>
                <w:sz w:val="20"/>
                <w:szCs w:val="20"/>
              </w:rPr>
            </w:pPr>
            <w:r w:rsidRPr="00207EA4">
              <w:rPr>
                <w:rFonts w:ascii="Arial" w:eastAsia="Arial" w:hAnsi="Arial" w:cs="Arial"/>
                <w:b/>
                <w:bCs/>
                <w:color w:val="231F20"/>
                <w:sz w:val="20"/>
                <w:szCs w:val="20"/>
              </w:rPr>
              <w:t>Likely</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shd w:val="clear" w:color="auto" w:fill="92D05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Medium</w:t>
            </w:r>
          </w:p>
        </w:tc>
        <w:tc>
          <w:tcPr>
            <w:tcW w:w="0" w:type="auto"/>
            <w:shd w:val="clear" w:color="auto" w:fill="92D05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Medium</w:t>
            </w:r>
          </w:p>
        </w:tc>
        <w:tc>
          <w:tcPr>
            <w:tcW w:w="0" w:type="auto"/>
            <w:shd w:val="clear" w:color="auto" w:fill="FFC00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High</w:t>
            </w:r>
          </w:p>
        </w:tc>
        <w:tc>
          <w:tcPr>
            <w:tcW w:w="0" w:type="auto"/>
            <w:shd w:val="clear" w:color="auto" w:fill="FF000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Extreme</w:t>
            </w:r>
          </w:p>
        </w:tc>
      </w:tr>
      <w:tr w:rsidR="006C7F88" w:rsidRPr="00207EA4" w:rsidTr="006C7F88">
        <w:trPr>
          <w:trHeight w:hRule="exact" w:val="481"/>
        </w:trPr>
        <w:tc>
          <w:tcPr>
            <w:tcW w:w="0" w:type="auto"/>
            <w:shd w:val="clear" w:color="auto" w:fill="E0E4F3"/>
          </w:tcPr>
          <w:p w:rsidR="006C7F88" w:rsidRPr="00207EA4" w:rsidRDefault="006C7F88" w:rsidP="00F4282A">
            <w:pPr>
              <w:spacing w:before="79"/>
              <w:ind w:left="396" w:right="-20"/>
              <w:rPr>
                <w:rFonts w:ascii="Arial" w:eastAsia="Arial" w:hAnsi="Arial" w:cs="Arial"/>
                <w:sz w:val="20"/>
                <w:szCs w:val="20"/>
              </w:rPr>
            </w:pPr>
            <w:r w:rsidRPr="00207EA4">
              <w:rPr>
                <w:rFonts w:ascii="Arial" w:eastAsia="Arial" w:hAnsi="Arial" w:cs="Arial"/>
                <w:b/>
                <w:bCs/>
                <w:color w:val="231F20"/>
                <w:sz w:val="20"/>
                <w:szCs w:val="20"/>
              </w:rPr>
              <w:t>Possible</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shd w:val="clear" w:color="auto" w:fill="92D050"/>
            <w:vAlign w:val="center"/>
          </w:tcPr>
          <w:p w:rsidR="006C7F88" w:rsidRPr="00207EA4" w:rsidRDefault="006C7F88" w:rsidP="006C7F88">
            <w:pPr>
              <w:spacing w:line="600" w:lineRule="auto"/>
              <w:ind w:left="34"/>
              <w:jc w:val="center"/>
              <w:rPr>
                <w:rFonts w:ascii="Arial" w:hAnsi="Arial" w:cs="Arial"/>
                <w:b/>
                <w:sz w:val="20"/>
                <w:szCs w:val="20"/>
                <w:highlight w:val="green"/>
              </w:rPr>
            </w:pPr>
            <w:r w:rsidRPr="00207EA4">
              <w:rPr>
                <w:rFonts w:ascii="Arial" w:hAnsi="Arial" w:cs="Arial"/>
                <w:b/>
                <w:sz w:val="20"/>
                <w:szCs w:val="20"/>
              </w:rPr>
              <w:t>Medium</w:t>
            </w:r>
          </w:p>
        </w:tc>
        <w:tc>
          <w:tcPr>
            <w:tcW w:w="0" w:type="auto"/>
            <w:shd w:val="clear" w:color="auto" w:fill="FFC00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High</w:t>
            </w:r>
          </w:p>
        </w:tc>
        <w:tc>
          <w:tcPr>
            <w:tcW w:w="0" w:type="auto"/>
            <w:shd w:val="clear" w:color="auto" w:fill="FFC00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High</w:t>
            </w:r>
          </w:p>
        </w:tc>
      </w:tr>
      <w:tr w:rsidR="006C7F88" w:rsidRPr="00207EA4" w:rsidTr="006C7F88">
        <w:trPr>
          <w:trHeight w:hRule="exact" w:val="481"/>
        </w:trPr>
        <w:tc>
          <w:tcPr>
            <w:tcW w:w="0" w:type="auto"/>
            <w:shd w:val="clear" w:color="auto" w:fill="E0E4F3"/>
          </w:tcPr>
          <w:p w:rsidR="006C7F88" w:rsidRPr="00207EA4" w:rsidRDefault="006C7F88" w:rsidP="00F4282A">
            <w:pPr>
              <w:spacing w:before="79"/>
              <w:ind w:left="420" w:right="-20"/>
              <w:rPr>
                <w:rFonts w:ascii="Arial" w:eastAsia="Arial" w:hAnsi="Arial" w:cs="Arial"/>
                <w:sz w:val="20"/>
                <w:szCs w:val="20"/>
              </w:rPr>
            </w:pPr>
            <w:r w:rsidRPr="00207EA4">
              <w:rPr>
                <w:rFonts w:ascii="Arial" w:eastAsia="Arial" w:hAnsi="Arial" w:cs="Arial"/>
                <w:b/>
                <w:bCs/>
                <w:color w:val="231F20"/>
                <w:sz w:val="20"/>
                <w:szCs w:val="20"/>
              </w:rPr>
              <w:t>Unlikely</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shd w:val="clear" w:color="auto" w:fill="92D05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Medium</w:t>
            </w:r>
          </w:p>
        </w:tc>
        <w:tc>
          <w:tcPr>
            <w:tcW w:w="0" w:type="auto"/>
            <w:shd w:val="clear" w:color="auto" w:fill="FFC000"/>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High</w:t>
            </w:r>
          </w:p>
        </w:tc>
      </w:tr>
      <w:tr w:rsidR="006C7F88" w:rsidRPr="00207EA4" w:rsidTr="006C7F88">
        <w:trPr>
          <w:trHeight w:hRule="exact" w:val="481"/>
        </w:trPr>
        <w:tc>
          <w:tcPr>
            <w:tcW w:w="0" w:type="auto"/>
            <w:shd w:val="clear" w:color="auto" w:fill="E0E4F3"/>
          </w:tcPr>
          <w:p w:rsidR="006C7F88" w:rsidRPr="00207EA4" w:rsidRDefault="006C7F88" w:rsidP="00F4282A">
            <w:pPr>
              <w:spacing w:before="79"/>
              <w:ind w:left="524" w:right="532"/>
              <w:jc w:val="center"/>
              <w:rPr>
                <w:rFonts w:ascii="Arial" w:eastAsia="Arial" w:hAnsi="Arial" w:cs="Arial"/>
                <w:sz w:val="20"/>
                <w:szCs w:val="20"/>
              </w:rPr>
            </w:pPr>
            <w:r w:rsidRPr="00207EA4">
              <w:rPr>
                <w:rFonts w:ascii="Arial" w:eastAsia="Arial" w:hAnsi="Arial" w:cs="Arial"/>
                <w:b/>
                <w:bCs/>
                <w:color w:val="231F20"/>
                <w:sz w:val="20"/>
                <w:szCs w:val="20"/>
              </w:rPr>
              <w:t>Rare</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shd w:val="clear" w:color="auto" w:fill="auto"/>
            <w:vAlign w:val="center"/>
          </w:tcPr>
          <w:p w:rsidR="006C7F88" w:rsidRPr="00207EA4" w:rsidRDefault="006C7F88" w:rsidP="006C7F88">
            <w:pPr>
              <w:spacing w:line="600" w:lineRule="auto"/>
              <w:ind w:left="34"/>
              <w:jc w:val="center"/>
              <w:rPr>
                <w:rFonts w:ascii="Arial" w:hAnsi="Arial" w:cs="Arial"/>
                <w:b/>
                <w:sz w:val="20"/>
                <w:szCs w:val="20"/>
              </w:rPr>
            </w:pPr>
            <w:r w:rsidRPr="00207EA4">
              <w:rPr>
                <w:rFonts w:ascii="Arial" w:hAnsi="Arial" w:cs="Arial"/>
                <w:b/>
                <w:sz w:val="20"/>
                <w:szCs w:val="20"/>
              </w:rPr>
              <w:t>Low</w:t>
            </w:r>
          </w:p>
        </w:tc>
        <w:tc>
          <w:tcPr>
            <w:tcW w:w="0" w:type="auto"/>
            <w:shd w:val="clear" w:color="auto" w:fill="92D050"/>
            <w:vAlign w:val="center"/>
          </w:tcPr>
          <w:p w:rsidR="006C7F88" w:rsidRPr="00207EA4" w:rsidRDefault="006C7F88" w:rsidP="006C7F88">
            <w:pPr>
              <w:spacing w:line="600" w:lineRule="auto"/>
              <w:ind w:left="34"/>
              <w:jc w:val="center"/>
              <w:rPr>
                <w:rFonts w:ascii="Arial" w:hAnsi="Arial" w:cs="Arial"/>
                <w:b/>
                <w:sz w:val="20"/>
                <w:szCs w:val="20"/>
                <w:highlight w:val="green"/>
              </w:rPr>
            </w:pPr>
            <w:r w:rsidRPr="00207EA4">
              <w:rPr>
                <w:rFonts w:ascii="Arial" w:hAnsi="Arial" w:cs="Arial"/>
                <w:b/>
                <w:sz w:val="20"/>
                <w:szCs w:val="20"/>
              </w:rPr>
              <w:t>Medium</w:t>
            </w:r>
          </w:p>
        </w:tc>
      </w:tr>
    </w:tbl>
    <w:p w:rsidR="00397B34" w:rsidRPr="00207EA4" w:rsidRDefault="00397B34" w:rsidP="00397B34">
      <w:pPr>
        <w:rPr>
          <w:rFonts w:ascii="Arial" w:hAnsi="Arial" w:cs="Arial"/>
          <w:sz w:val="20"/>
          <w:szCs w:val="20"/>
        </w:rPr>
      </w:pPr>
    </w:p>
    <w:p w:rsidR="00397B34" w:rsidRPr="00207EA4" w:rsidRDefault="00397B34" w:rsidP="00397B34">
      <w:pPr>
        <w:rPr>
          <w:rFonts w:ascii="Arial" w:hAnsi="Arial" w:cs="Arial"/>
          <w:sz w:val="20"/>
          <w:szCs w:val="20"/>
        </w:rPr>
      </w:pPr>
    </w:p>
    <w:p w:rsidR="00397B34" w:rsidRPr="00207EA4" w:rsidRDefault="00397B34">
      <w:pPr>
        <w:rPr>
          <w:rFonts w:ascii="Arial" w:hAnsi="Arial" w:cs="Arial"/>
          <w:sz w:val="20"/>
          <w:szCs w:val="20"/>
        </w:rPr>
      </w:pPr>
      <w:r w:rsidRPr="00207EA4">
        <w:rPr>
          <w:rFonts w:ascii="Arial" w:hAnsi="Arial" w:cs="Arial"/>
          <w:sz w:val="20"/>
          <w:szCs w:val="20"/>
        </w:rPr>
        <w:br w:type="page"/>
      </w:r>
    </w:p>
    <w:p w:rsidR="00397B34" w:rsidRPr="00207EA4" w:rsidRDefault="00397B34" w:rsidP="00397B34">
      <w:pPr>
        <w:rPr>
          <w:rFonts w:ascii="Arial" w:hAnsi="Arial" w:cs="Arial"/>
          <w:sz w:val="20"/>
          <w:szCs w:val="20"/>
        </w:rPr>
      </w:pPr>
    </w:p>
    <w:p w:rsidR="00E20CDB" w:rsidRPr="0019269A" w:rsidRDefault="00AF5B58" w:rsidP="00D92C7A">
      <w:pPr>
        <w:pStyle w:val="GGA4"/>
      </w:pPr>
      <w:r w:rsidRPr="0019269A">
        <w:t xml:space="preserve">Step 3 </w:t>
      </w:r>
      <w:r w:rsidR="00E20CDB" w:rsidRPr="0019269A">
        <w:t xml:space="preserve">Control the </w:t>
      </w:r>
      <w:r w:rsidR="00896FCB" w:rsidRPr="0019269A">
        <w:t xml:space="preserve">initial </w:t>
      </w:r>
      <w:r w:rsidR="00E20CDB" w:rsidRPr="0019269A">
        <w:t>risk</w:t>
      </w:r>
    </w:p>
    <w:p w:rsidR="00026F9B" w:rsidRPr="00207EA4" w:rsidRDefault="00026F9B" w:rsidP="00E20CDB">
      <w:pPr>
        <w:rPr>
          <w:rFonts w:ascii="Arial" w:hAnsi="Arial" w:cs="Arial"/>
          <w:sz w:val="20"/>
          <w:szCs w:val="20"/>
        </w:rPr>
      </w:pPr>
      <w:r w:rsidRPr="00207EA4">
        <w:rPr>
          <w:rFonts w:ascii="Arial" w:hAnsi="Arial" w:cs="Arial"/>
          <w:sz w:val="20"/>
          <w:szCs w:val="20"/>
        </w:rPr>
        <w:t xml:space="preserve">We now choose the control measures to reduce the </w:t>
      </w:r>
      <w:r w:rsidR="00896FCB" w:rsidRPr="00207EA4">
        <w:rPr>
          <w:rFonts w:ascii="Arial" w:hAnsi="Arial" w:cs="Arial"/>
          <w:sz w:val="20"/>
          <w:szCs w:val="20"/>
        </w:rPr>
        <w:t xml:space="preserve">initial </w:t>
      </w:r>
      <w:r w:rsidRPr="00207EA4">
        <w:rPr>
          <w:rFonts w:ascii="Arial" w:hAnsi="Arial" w:cs="Arial"/>
          <w:sz w:val="20"/>
          <w:szCs w:val="20"/>
        </w:rPr>
        <w:t>risk.</w:t>
      </w:r>
    </w:p>
    <w:p w:rsidR="00026F9B" w:rsidRPr="00207EA4" w:rsidRDefault="00026F9B" w:rsidP="00E20CDB">
      <w:pPr>
        <w:rPr>
          <w:rFonts w:ascii="Arial" w:hAnsi="Arial" w:cs="Arial"/>
          <w:sz w:val="20"/>
          <w:szCs w:val="20"/>
        </w:rPr>
      </w:pPr>
    </w:p>
    <w:p w:rsidR="00E20CDB" w:rsidRPr="00207EA4" w:rsidRDefault="00E20CDB" w:rsidP="00E20CDB">
      <w:pPr>
        <w:rPr>
          <w:rFonts w:ascii="Arial" w:hAnsi="Arial" w:cs="Arial"/>
          <w:sz w:val="20"/>
          <w:szCs w:val="20"/>
        </w:rPr>
      </w:pPr>
      <w:r w:rsidRPr="00207EA4">
        <w:rPr>
          <w:rFonts w:ascii="Arial" w:hAnsi="Arial" w:cs="Arial"/>
          <w:sz w:val="20"/>
          <w:szCs w:val="20"/>
        </w:rPr>
        <w:t>You may like to use the Hierarchy of Control</w:t>
      </w:r>
      <w:r w:rsidR="00D23DDA" w:rsidRPr="00207EA4">
        <w:rPr>
          <w:rFonts w:ascii="Arial" w:hAnsi="Arial" w:cs="Arial"/>
          <w:sz w:val="20"/>
          <w:szCs w:val="20"/>
        </w:rPr>
        <w:t xml:space="preserve"> and its levels</w:t>
      </w:r>
      <w:r w:rsidRPr="00207EA4">
        <w:rPr>
          <w:rFonts w:ascii="Arial" w:hAnsi="Arial" w:cs="Arial"/>
          <w:sz w:val="20"/>
          <w:szCs w:val="20"/>
        </w:rPr>
        <w:t xml:space="preserve"> to help you work out the best control for your risks. Start at the top for the most effective way of reducing your hazard and work your way down until you are happy that you have controlled your risk. </w:t>
      </w:r>
    </w:p>
    <w:p w:rsidR="00D23DDA" w:rsidRDefault="00D23DDA" w:rsidP="00E20CDB">
      <w:pPr>
        <w:rPr>
          <w:rFonts w:ascii="Arial" w:hAnsi="Arial" w:cs="Arial"/>
          <w:sz w:val="20"/>
          <w:szCs w:val="20"/>
        </w:rPr>
      </w:pPr>
    </w:p>
    <w:p w:rsidR="00DD6084" w:rsidRPr="00207EA4" w:rsidRDefault="00DD6084" w:rsidP="00E20CDB">
      <w:pPr>
        <w:rPr>
          <w:rFonts w:ascii="Arial" w:hAnsi="Arial" w:cs="Arial"/>
          <w:sz w:val="20"/>
          <w:szCs w:val="20"/>
        </w:rPr>
      </w:pPr>
    </w:p>
    <w:p w:rsidR="00D23DDA" w:rsidRPr="00207EA4" w:rsidRDefault="00D23DDA" w:rsidP="00D23DDA">
      <w:pPr>
        <w:jc w:val="center"/>
        <w:rPr>
          <w:rFonts w:ascii="Arial" w:hAnsi="Arial" w:cs="Arial"/>
          <w:sz w:val="20"/>
          <w:szCs w:val="20"/>
        </w:rPr>
      </w:pPr>
      <w:r w:rsidRPr="00207EA4">
        <w:rPr>
          <w:rFonts w:ascii="Arial" w:hAnsi="Arial" w:cs="Arial"/>
          <w:noProof/>
          <w:sz w:val="20"/>
          <w:szCs w:val="20"/>
          <w:lang w:eastAsia="en-AU"/>
        </w:rPr>
        <w:drawing>
          <wp:inline distT="0" distB="0" distL="0" distR="0" wp14:anchorId="55250F8E" wp14:editId="09D2A044">
            <wp:extent cx="2620175" cy="2971800"/>
            <wp:effectExtent l="0" t="0" r="8890" b="0"/>
            <wp:docPr id="10" name="Picture 10" descr="The hierarchy of risk contro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ierarchy of risk control diagr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0277" cy="2971916"/>
                    </a:xfrm>
                    <a:prstGeom prst="rect">
                      <a:avLst/>
                    </a:prstGeom>
                    <a:noFill/>
                    <a:ln>
                      <a:noFill/>
                    </a:ln>
                  </pic:spPr>
                </pic:pic>
              </a:graphicData>
            </a:graphic>
          </wp:inline>
        </w:drawing>
      </w:r>
    </w:p>
    <w:p w:rsidR="008441D8" w:rsidRPr="00207EA4" w:rsidRDefault="008441D8">
      <w:pPr>
        <w:rPr>
          <w:rFonts w:ascii="Arial" w:eastAsia="GillSans" w:hAnsi="Arial" w:cs="Arial"/>
          <w:color w:val="005DAA"/>
          <w:w w:val="94"/>
          <w:position w:val="-1"/>
          <w:sz w:val="20"/>
          <w:szCs w:val="20"/>
        </w:rPr>
      </w:pPr>
      <w:r w:rsidRPr="00207EA4">
        <w:rPr>
          <w:rFonts w:ascii="Arial" w:eastAsia="GillSans" w:hAnsi="Arial" w:cs="Arial"/>
          <w:color w:val="005DAA"/>
          <w:w w:val="94"/>
          <w:position w:val="-1"/>
          <w:sz w:val="20"/>
          <w:szCs w:val="20"/>
        </w:rPr>
        <w:br w:type="page"/>
      </w:r>
    </w:p>
    <w:p w:rsidR="00026F9B" w:rsidRPr="00207EA4" w:rsidRDefault="00026F9B" w:rsidP="00D92C7A">
      <w:pPr>
        <w:pStyle w:val="GGA4"/>
      </w:pPr>
      <w:r w:rsidRPr="00207EA4">
        <w:t>Step 4</w:t>
      </w:r>
      <w:r w:rsidR="003B28E4" w:rsidRPr="00207EA4">
        <w:t xml:space="preserve"> – Assess residual </w:t>
      </w:r>
      <w:r w:rsidR="00503254" w:rsidRPr="00207EA4">
        <w:t xml:space="preserve">risk </w:t>
      </w:r>
      <w:r w:rsidR="003B28E4" w:rsidRPr="00207EA4">
        <w:t xml:space="preserve"> </w:t>
      </w:r>
    </w:p>
    <w:p w:rsidR="00026F9B" w:rsidRPr="00207EA4" w:rsidRDefault="00026F9B" w:rsidP="00C6362F">
      <w:pPr>
        <w:pStyle w:val="Heading4"/>
        <w:rPr>
          <w:rFonts w:ascii="Arial" w:hAnsi="Arial" w:cs="Arial"/>
          <w:sz w:val="20"/>
          <w:szCs w:val="20"/>
        </w:rPr>
      </w:pPr>
      <w:r w:rsidRPr="00207EA4">
        <w:rPr>
          <w:rFonts w:ascii="Arial" w:eastAsiaTheme="minorHAnsi" w:hAnsi="Arial" w:cs="Arial"/>
          <w:b w:val="0"/>
          <w:bCs w:val="0"/>
          <w:color w:val="auto"/>
          <w:sz w:val="20"/>
          <w:szCs w:val="20"/>
          <w:lang w:eastAsia="en-US"/>
        </w:rPr>
        <w:t xml:space="preserve">Now we repeat step 2 having chosen our control measures and reassess the risk rating, taking into consideration our chosen control measures. </w:t>
      </w:r>
    </w:p>
    <w:p w:rsidR="00503254" w:rsidRPr="00207EA4" w:rsidRDefault="00C6362F" w:rsidP="00C6362F">
      <w:pPr>
        <w:rPr>
          <w:rFonts w:ascii="Arial" w:hAnsi="Arial" w:cs="Arial"/>
          <w:sz w:val="20"/>
          <w:szCs w:val="20"/>
        </w:rPr>
      </w:pPr>
      <w:r w:rsidRPr="00207EA4">
        <w:rPr>
          <w:rFonts w:ascii="Arial" w:hAnsi="Arial" w:cs="Arial"/>
          <w:sz w:val="20"/>
          <w:szCs w:val="20"/>
        </w:rPr>
        <w:t xml:space="preserve">Once you have completed your residual risk rating you need to ensure that it is acceptable. If it sits in the high or extreme risk priority category you will need to escalate the risk concern to the next level. </w:t>
      </w:r>
      <w:r w:rsidR="00503254" w:rsidRPr="00207EA4">
        <w:rPr>
          <w:rFonts w:ascii="Arial" w:hAnsi="Arial" w:cs="Arial"/>
          <w:sz w:val="20"/>
          <w:szCs w:val="20"/>
        </w:rPr>
        <w:t>The higher the risk the higher the priority and the sooner you need to deal with the hazard.</w:t>
      </w:r>
    </w:p>
    <w:p w:rsidR="00C6362F" w:rsidRPr="00207EA4" w:rsidRDefault="00A61E02" w:rsidP="00A61E02">
      <w:pPr>
        <w:pStyle w:val="Heading4"/>
        <w:rPr>
          <w:rFonts w:ascii="Arial" w:hAnsi="Arial" w:cs="Arial"/>
          <w:sz w:val="20"/>
          <w:szCs w:val="20"/>
        </w:rPr>
      </w:pPr>
      <w:r w:rsidRPr="00DD6084">
        <w:rPr>
          <w:rFonts w:ascii="Arial" w:hAnsi="Arial" w:cs="Arial"/>
          <w:color w:val="0033A1"/>
          <w:sz w:val="20"/>
          <w:szCs w:val="20"/>
        </w:rPr>
        <w:t>TABLE 4 Risk Priority Table</w:t>
      </w:r>
      <w:r w:rsidR="001762ED" w:rsidRPr="00207EA4">
        <w:rPr>
          <w:rFonts w:ascii="Arial" w:hAnsi="Arial" w:cs="Arial"/>
          <w:sz w:val="20"/>
          <w:szCs w:val="20"/>
        </w:rPr>
        <w:tab/>
      </w:r>
    </w:p>
    <w:tbl>
      <w:tblPr>
        <w:tblpPr w:leftFromText="180" w:rightFromText="180" w:vertAnchor="text" w:horzAnchor="margin" w:tblpXSpec="center" w:tblpY="9"/>
        <w:tblW w:w="6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4722"/>
      </w:tblGrid>
      <w:tr w:rsidR="00C6362F" w:rsidRPr="00207EA4" w:rsidTr="00DD6084">
        <w:tc>
          <w:tcPr>
            <w:tcW w:w="1303" w:type="dxa"/>
            <w:shd w:val="clear" w:color="auto" w:fill="B8CCE4" w:themeFill="accent1" w:themeFillTint="66"/>
          </w:tcPr>
          <w:p w:rsidR="00C6362F" w:rsidRPr="00207EA4" w:rsidRDefault="00C6362F" w:rsidP="00AC4340">
            <w:pPr>
              <w:spacing w:before="120" w:after="120"/>
              <w:ind w:right="95" w:hanging="255"/>
              <w:jc w:val="center"/>
              <w:rPr>
                <w:rFonts w:ascii="Arial" w:eastAsia="Times New Roman" w:hAnsi="Arial" w:cs="Arial"/>
                <w:color w:val="000000"/>
                <w:sz w:val="20"/>
                <w:szCs w:val="20"/>
              </w:rPr>
            </w:pPr>
            <w:r w:rsidRPr="00207EA4">
              <w:rPr>
                <w:rFonts w:ascii="Arial" w:eastAsia="Times New Roman" w:hAnsi="Arial" w:cs="Arial"/>
                <w:b/>
                <w:sz w:val="20"/>
                <w:szCs w:val="20"/>
              </w:rPr>
              <w:t>RISK PRIORITY</w:t>
            </w:r>
          </w:p>
        </w:tc>
        <w:tc>
          <w:tcPr>
            <w:tcW w:w="4722" w:type="dxa"/>
            <w:shd w:val="clear" w:color="auto" w:fill="B8CCE4" w:themeFill="accent1" w:themeFillTint="66"/>
          </w:tcPr>
          <w:p w:rsidR="00C6362F" w:rsidRPr="00207EA4" w:rsidRDefault="00C6362F" w:rsidP="00AC4340">
            <w:pPr>
              <w:spacing w:before="120" w:after="120"/>
              <w:ind w:right="95" w:firstLine="114"/>
              <w:jc w:val="center"/>
              <w:rPr>
                <w:rFonts w:ascii="Arial" w:eastAsia="Times New Roman" w:hAnsi="Arial" w:cs="Arial"/>
                <w:sz w:val="20"/>
                <w:szCs w:val="20"/>
              </w:rPr>
            </w:pPr>
            <w:r w:rsidRPr="00207EA4">
              <w:rPr>
                <w:rFonts w:ascii="Arial" w:eastAsia="Times New Roman" w:hAnsi="Arial" w:cs="Arial"/>
                <w:b/>
                <w:sz w:val="20"/>
                <w:szCs w:val="20"/>
              </w:rPr>
              <w:t>ACTION</w:t>
            </w:r>
            <w:r w:rsidR="003B3F8C" w:rsidRPr="00207EA4">
              <w:rPr>
                <w:rFonts w:ascii="Arial" w:eastAsia="Times New Roman" w:hAnsi="Arial" w:cs="Arial"/>
                <w:b/>
                <w:sz w:val="20"/>
                <w:szCs w:val="20"/>
              </w:rPr>
              <w:t xml:space="preserve"> TO BE TAKEN</w:t>
            </w:r>
          </w:p>
        </w:tc>
      </w:tr>
      <w:tr w:rsidR="00C6362F" w:rsidRPr="00207EA4" w:rsidTr="00DD6084">
        <w:tc>
          <w:tcPr>
            <w:tcW w:w="1303" w:type="dxa"/>
          </w:tcPr>
          <w:p w:rsidR="00C6362F" w:rsidRPr="00207EA4" w:rsidRDefault="00C6362F" w:rsidP="00AC4340">
            <w:pPr>
              <w:spacing w:before="120" w:after="120"/>
              <w:ind w:left="29" w:right="29"/>
              <w:rPr>
                <w:rFonts w:ascii="Arial" w:hAnsi="Arial" w:cs="Arial"/>
                <w:sz w:val="20"/>
                <w:szCs w:val="20"/>
              </w:rPr>
            </w:pPr>
            <w:r w:rsidRPr="00207EA4">
              <w:rPr>
                <w:rFonts w:ascii="Arial" w:hAnsi="Arial" w:cs="Arial"/>
                <w:sz w:val="20"/>
                <w:szCs w:val="20"/>
              </w:rPr>
              <w:t>Extreme</w:t>
            </w:r>
          </w:p>
        </w:tc>
        <w:tc>
          <w:tcPr>
            <w:tcW w:w="4722" w:type="dxa"/>
          </w:tcPr>
          <w:p w:rsidR="00C6362F" w:rsidRPr="00207EA4" w:rsidRDefault="00C6362F" w:rsidP="00AC4340">
            <w:pPr>
              <w:numPr>
                <w:ilvl w:val="12"/>
                <w:numId w:val="0"/>
              </w:numPr>
              <w:spacing w:before="120" w:after="120"/>
              <w:ind w:left="29" w:right="29"/>
              <w:rPr>
                <w:rFonts w:ascii="Arial" w:hAnsi="Arial" w:cs="Arial"/>
                <w:sz w:val="20"/>
                <w:szCs w:val="20"/>
              </w:rPr>
            </w:pPr>
            <w:r w:rsidRPr="00207EA4">
              <w:rPr>
                <w:rFonts w:ascii="Arial" w:hAnsi="Arial" w:cs="Arial"/>
                <w:sz w:val="20"/>
                <w:szCs w:val="20"/>
              </w:rPr>
              <w:t>An Extreme Risk is one that must be dealt with immediately. State Girl Guide Organisations and Girl Guides Australia Boards normally monitor Extreme Risks.</w:t>
            </w:r>
          </w:p>
        </w:tc>
      </w:tr>
      <w:tr w:rsidR="00C6362F" w:rsidRPr="00207EA4" w:rsidTr="00DD6084">
        <w:tc>
          <w:tcPr>
            <w:tcW w:w="1303" w:type="dxa"/>
          </w:tcPr>
          <w:p w:rsidR="00C6362F" w:rsidRPr="00207EA4" w:rsidRDefault="00C6362F" w:rsidP="00AC4340">
            <w:pPr>
              <w:spacing w:before="120" w:after="120"/>
              <w:ind w:left="29" w:right="29"/>
              <w:rPr>
                <w:rFonts w:ascii="Arial" w:hAnsi="Arial" w:cs="Arial"/>
                <w:sz w:val="20"/>
                <w:szCs w:val="20"/>
              </w:rPr>
            </w:pPr>
            <w:r w:rsidRPr="00207EA4">
              <w:rPr>
                <w:rFonts w:ascii="Arial" w:hAnsi="Arial" w:cs="Arial"/>
                <w:sz w:val="20"/>
                <w:szCs w:val="20"/>
              </w:rPr>
              <w:t>High</w:t>
            </w:r>
          </w:p>
        </w:tc>
        <w:tc>
          <w:tcPr>
            <w:tcW w:w="4722" w:type="dxa"/>
          </w:tcPr>
          <w:p w:rsidR="00C6362F" w:rsidRPr="00207EA4" w:rsidRDefault="00C6362F" w:rsidP="00AC4340">
            <w:pPr>
              <w:numPr>
                <w:ilvl w:val="12"/>
                <w:numId w:val="0"/>
              </w:numPr>
              <w:spacing w:before="120" w:after="120"/>
              <w:ind w:left="29" w:right="430"/>
              <w:rPr>
                <w:rFonts w:ascii="Arial" w:hAnsi="Arial" w:cs="Arial"/>
                <w:sz w:val="20"/>
                <w:szCs w:val="20"/>
              </w:rPr>
            </w:pPr>
            <w:r w:rsidRPr="00207EA4">
              <w:rPr>
                <w:rFonts w:ascii="Arial" w:hAnsi="Arial" w:cs="Arial"/>
                <w:sz w:val="20"/>
                <w:szCs w:val="20"/>
              </w:rPr>
              <w:t>A High Risk is one that should be dealt with after attending to Extreme Risks. High level risks may be managed at State Commissioner or Executive Officer level or at the level of the Risk Management Representatives at SGGO level.</w:t>
            </w:r>
          </w:p>
        </w:tc>
      </w:tr>
      <w:tr w:rsidR="00C6362F" w:rsidRPr="00207EA4" w:rsidTr="00DD6084">
        <w:tc>
          <w:tcPr>
            <w:tcW w:w="1303" w:type="dxa"/>
          </w:tcPr>
          <w:p w:rsidR="00C6362F" w:rsidRPr="00207EA4" w:rsidRDefault="00C6362F" w:rsidP="00AC4340">
            <w:pPr>
              <w:spacing w:before="120" w:after="120"/>
              <w:ind w:left="29" w:right="29"/>
              <w:rPr>
                <w:rFonts w:ascii="Arial" w:hAnsi="Arial" w:cs="Arial"/>
                <w:sz w:val="20"/>
                <w:szCs w:val="20"/>
              </w:rPr>
            </w:pPr>
            <w:r w:rsidRPr="00207EA4">
              <w:rPr>
                <w:rFonts w:ascii="Arial" w:hAnsi="Arial" w:cs="Arial"/>
                <w:sz w:val="20"/>
                <w:szCs w:val="20"/>
              </w:rPr>
              <w:t>Medium</w:t>
            </w:r>
          </w:p>
        </w:tc>
        <w:tc>
          <w:tcPr>
            <w:tcW w:w="4722" w:type="dxa"/>
          </w:tcPr>
          <w:p w:rsidR="00C6362F" w:rsidRPr="00207EA4" w:rsidRDefault="00C6362F" w:rsidP="00AC4340">
            <w:pPr>
              <w:numPr>
                <w:ilvl w:val="12"/>
                <w:numId w:val="0"/>
              </w:numPr>
              <w:spacing w:before="120" w:after="120"/>
              <w:ind w:left="29" w:right="430"/>
              <w:rPr>
                <w:rFonts w:ascii="Arial" w:hAnsi="Arial" w:cs="Arial"/>
                <w:sz w:val="20"/>
                <w:szCs w:val="20"/>
              </w:rPr>
            </w:pPr>
            <w:r w:rsidRPr="00207EA4">
              <w:rPr>
                <w:rFonts w:ascii="Arial" w:hAnsi="Arial" w:cs="Arial"/>
                <w:sz w:val="20"/>
                <w:szCs w:val="20"/>
              </w:rPr>
              <w:t>A Medium Risk is one that can be dealt with by applying routine procedures and is normally dealt with by Region and/or District Managers. Where appropriate, medium level risks may be escalated to the Executive Officer or State Commissioner level.</w:t>
            </w:r>
          </w:p>
        </w:tc>
      </w:tr>
      <w:tr w:rsidR="00C6362F" w:rsidRPr="00207EA4" w:rsidTr="00DD6084">
        <w:tc>
          <w:tcPr>
            <w:tcW w:w="1303" w:type="dxa"/>
          </w:tcPr>
          <w:p w:rsidR="00C6362F" w:rsidRPr="00207EA4" w:rsidRDefault="00C6362F" w:rsidP="00AC4340">
            <w:pPr>
              <w:spacing w:before="120" w:after="120"/>
              <w:ind w:left="29" w:right="29"/>
              <w:rPr>
                <w:rFonts w:ascii="Arial" w:hAnsi="Arial" w:cs="Arial"/>
                <w:sz w:val="20"/>
                <w:szCs w:val="20"/>
              </w:rPr>
            </w:pPr>
            <w:r w:rsidRPr="00207EA4">
              <w:rPr>
                <w:rFonts w:ascii="Arial" w:hAnsi="Arial" w:cs="Arial"/>
                <w:sz w:val="20"/>
                <w:szCs w:val="20"/>
              </w:rPr>
              <w:t>Low</w:t>
            </w:r>
          </w:p>
        </w:tc>
        <w:tc>
          <w:tcPr>
            <w:tcW w:w="4722" w:type="dxa"/>
          </w:tcPr>
          <w:p w:rsidR="00C6362F" w:rsidRPr="00207EA4" w:rsidRDefault="00C6362F" w:rsidP="00AC4340">
            <w:pPr>
              <w:numPr>
                <w:ilvl w:val="12"/>
                <w:numId w:val="0"/>
              </w:numPr>
              <w:spacing w:before="120" w:after="120"/>
              <w:ind w:left="29" w:right="430"/>
              <w:rPr>
                <w:rFonts w:ascii="Arial" w:hAnsi="Arial" w:cs="Arial"/>
                <w:sz w:val="20"/>
                <w:szCs w:val="20"/>
              </w:rPr>
            </w:pPr>
            <w:r w:rsidRPr="00207EA4">
              <w:rPr>
                <w:rFonts w:ascii="Arial" w:hAnsi="Arial" w:cs="Arial"/>
                <w:sz w:val="20"/>
                <w:szCs w:val="20"/>
              </w:rPr>
              <w:t>A Low Risk is accepted and controlled by the leader but should be monitored periodically by Region and/or District Managers to ensure the rating does not change.</w:t>
            </w:r>
          </w:p>
        </w:tc>
      </w:tr>
    </w:tbl>
    <w:p w:rsidR="00C92962" w:rsidRPr="00A82FDE" w:rsidRDefault="00141AA0" w:rsidP="00D92C7A">
      <w:pPr>
        <w:pStyle w:val="GGA2"/>
        <w:rPr>
          <w:rFonts w:eastAsiaTheme="minorHAnsi"/>
          <w:b/>
          <w:color w:val="0033A1"/>
          <w:lang w:eastAsia="en-US"/>
        </w:rPr>
      </w:pPr>
      <w:r w:rsidRPr="00A82FDE">
        <w:rPr>
          <w:color w:val="0033A1"/>
        </w:rPr>
        <w:t>R</w:t>
      </w:r>
      <w:r w:rsidR="00E20CDB" w:rsidRPr="00A82FDE">
        <w:rPr>
          <w:color w:val="0033A1"/>
        </w:rPr>
        <w:t xml:space="preserve">ecording the </w:t>
      </w:r>
      <w:r w:rsidR="000E0260" w:rsidRPr="00A82FDE">
        <w:rPr>
          <w:color w:val="0033A1"/>
        </w:rPr>
        <w:t>Operational Risk Plan</w:t>
      </w:r>
    </w:p>
    <w:p w:rsidR="00DF1292" w:rsidRPr="00207EA4" w:rsidRDefault="00E20CDB" w:rsidP="000E0260">
      <w:pPr>
        <w:pStyle w:val="Heading2"/>
        <w:rPr>
          <w:rFonts w:ascii="Arial" w:eastAsiaTheme="minorHAnsi" w:hAnsi="Arial" w:cs="Arial"/>
          <w:b w:val="0"/>
          <w:bCs w:val="0"/>
          <w:color w:val="auto"/>
          <w:sz w:val="20"/>
          <w:szCs w:val="20"/>
          <w:lang w:eastAsia="en-US"/>
        </w:rPr>
      </w:pPr>
      <w:r w:rsidRPr="00207EA4">
        <w:rPr>
          <w:rFonts w:ascii="Arial" w:eastAsiaTheme="minorHAnsi" w:hAnsi="Arial" w:cs="Arial"/>
          <w:b w:val="0"/>
          <w:bCs w:val="0"/>
          <w:color w:val="auto"/>
          <w:sz w:val="20"/>
          <w:szCs w:val="20"/>
          <w:lang w:eastAsia="en-US"/>
        </w:rPr>
        <w:t xml:space="preserve">Risk management activities should be traceable. In the risk management process, records provide the foundation for improvement in methods and tools, as </w:t>
      </w:r>
      <w:r w:rsidR="00C92962" w:rsidRPr="00207EA4">
        <w:rPr>
          <w:rFonts w:ascii="Arial" w:eastAsiaTheme="minorHAnsi" w:hAnsi="Arial" w:cs="Arial"/>
          <w:b w:val="0"/>
          <w:bCs w:val="0"/>
          <w:color w:val="auto"/>
          <w:sz w:val="20"/>
          <w:szCs w:val="20"/>
          <w:lang w:eastAsia="en-US"/>
        </w:rPr>
        <w:t>well as in the overall process.</w:t>
      </w:r>
      <w:r w:rsidR="000E0260" w:rsidRPr="00207EA4">
        <w:rPr>
          <w:rFonts w:ascii="Arial" w:eastAsiaTheme="minorHAnsi" w:hAnsi="Arial" w:cs="Arial"/>
          <w:b w:val="0"/>
          <w:bCs w:val="0"/>
          <w:color w:val="auto"/>
          <w:sz w:val="20"/>
          <w:szCs w:val="20"/>
          <w:lang w:eastAsia="en-US"/>
        </w:rPr>
        <w:t xml:space="preserve"> </w:t>
      </w:r>
      <w:r w:rsidR="00D93914" w:rsidRPr="00207EA4">
        <w:rPr>
          <w:rFonts w:ascii="Arial" w:eastAsiaTheme="minorHAnsi" w:hAnsi="Arial" w:cs="Arial"/>
          <w:b w:val="0"/>
          <w:bCs w:val="0"/>
          <w:color w:val="auto"/>
          <w:sz w:val="20"/>
          <w:szCs w:val="20"/>
          <w:lang w:eastAsia="en-US"/>
        </w:rPr>
        <w:t xml:space="preserve">Once you have </w:t>
      </w:r>
      <w:r w:rsidR="000E0260" w:rsidRPr="00207EA4">
        <w:rPr>
          <w:rFonts w:ascii="Arial" w:eastAsiaTheme="minorHAnsi" w:hAnsi="Arial" w:cs="Arial"/>
          <w:b w:val="0"/>
          <w:bCs w:val="0"/>
          <w:color w:val="auto"/>
          <w:sz w:val="20"/>
          <w:szCs w:val="20"/>
          <w:lang w:eastAsia="en-US"/>
        </w:rPr>
        <w:t>completed your plan send it to your Manager.</w:t>
      </w:r>
    </w:p>
    <w:p w:rsidR="000E0260" w:rsidRPr="00207EA4" w:rsidRDefault="000E0260" w:rsidP="000E0260">
      <w:pPr>
        <w:pStyle w:val="Heading2"/>
        <w:rPr>
          <w:rFonts w:ascii="Arial" w:eastAsiaTheme="minorHAnsi" w:hAnsi="Arial" w:cs="Arial"/>
          <w:b w:val="0"/>
          <w:bCs w:val="0"/>
          <w:color w:val="auto"/>
          <w:sz w:val="20"/>
          <w:szCs w:val="20"/>
          <w:lang w:eastAsia="en-US"/>
        </w:rPr>
      </w:pPr>
      <w:r w:rsidRPr="00207EA4">
        <w:rPr>
          <w:rFonts w:ascii="Arial" w:eastAsiaTheme="minorHAnsi" w:hAnsi="Arial" w:cs="Arial"/>
          <w:b w:val="0"/>
          <w:bCs w:val="0"/>
          <w:color w:val="auto"/>
          <w:sz w:val="20"/>
          <w:szCs w:val="20"/>
          <w:lang w:eastAsia="en-US"/>
        </w:rPr>
        <w:t>File a copy for review within your District, Region or State.</w:t>
      </w:r>
    </w:p>
    <w:p w:rsidR="00DD6084" w:rsidRDefault="00DD6084" w:rsidP="00D92C7A">
      <w:pPr>
        <w:pStyle w:val="GGA2"/>
      </w:pPr>
    </w:p>
    <w:p w:rsidR="00DD6084" w:rsidRDefault="00DD6084" w:rsidP="00D92C7A">
      <w:pPr>
        <w:pStyle w:val="GGA2"/>
      </w:pPr>
    </w:p>
    <w:p w:rsidR="00870BFF" w:rsidRPr="00A82FDE" w:rsidRDefault="000E0260" w:rsidP="00D92C7A">
      <w:pPr>
        <w:pStyle w:val="GGA2"/>
        <w:rPr>
          <w:color w:val="0033A1"/>
        </w:rPr>
      </w:pPr>
      <w:r w:rsidRPr="00A82FDE">
        <w:rPr>
          <w:color w:val="0033A1"/>
        </w:rPr>
        <w:t>W</w:t>
      </w:r>
      <w:r w:rsidR="00870BFF" w:rsidRPr="00A82FDE">
        <w:rPr>
          <w:color w:val="0033A1"/>
        </w:rPr>
        <w:t>here do I go to for help?</w:t>
      </w:r>
    </w:p>
    <w:p w:rsidR="00870BFF" w:rsidRPr="00207EA4" w:rsidRDefault="00870BFF" w:rsidP="00870BFF">
      <w:pPr>
        <w:rPr>
          <w:rFonts w:ascii="Arial" w:hAnsi="Arial" w:cs="Arial"/>
          <w:sz w:val="20"/>
          <w:szCs w:val="20"/>
        </w:rPr>
      </w:pPr>
      <w:r w:rsidRPr="00207EA4">
        <w:rPr>
          <w:rFonts w:ascii="Arial" w:hAnsi="Arial" w:cs="Arial"/>
          <w:sz w:val="20"/>
          <w:szCs w:val="20"/>
        </w:rPr>
        <w:t>There are many people within Guiding that will support you to manage risk.  These inclu</w:t>
      </w:r>
      <w:r w:rsidR="00DD6084">
        <w:rPr>
          <w:rFonts w:ascii="Arial" w:hAnsi="Arial" w:cs="Arial"/>
          <w:sz w:val="20"/>
          <w:szCs w:val="20"/>
        </w:rPr>
        <w:t>de:</w:t>
      </w:r>
    </w:p>
    <w:p w:rsidR="00870BFF" w:rsidRPr="00207EA4" w:rsidRDefault="00870BFF" w:rsidP="00870BFF">
      <w:pPr>
        <w:rPr>
          <w:rFonts w:ascii="Arial" w:hAnsi="Arial" w:cs="Arial"/>
          <w:sz w:val="20"/>
          <w:szCs w:val="20"/>
        </w:rPr>
      </w:pPr>
    </w:p>
    <w:p w:rsidR="00814EA4" w:rsidRPr="00207EA4" w:rsidRDefault="00814EA4" w:rsidP="00870BFF">
      <w:pPr>
        <w:rPr>
          <w:rFonts w:ascii="Arial" w:hAnsi="Arial" w:cs="Arial"/>
          <w:sz w:val="20"/>
          <w:szCs w:val="20"/>
        </w:rPr>
      </w:pPr>
      <w:r w:rsidRPr="00207EA4">
        <w:rPr>
          <w:rFonts w:ascii="Arial" w:hAnsi="Arial" w:cs="Arial"/>
          <w:sz w:val="20"/>
          <w:szCs w:val="20"/>
        </w:rPr>
        <w:t>District, Region, State team</w:t>
      </w:r>
    </w:p>
    <w:p w:rsidR="00814EA4" w:rsidRPr="00207EA4" w:rsidRDefault="00814EA4" w:rsidP="00870BFF">
      <w:pPr>
        <w:rPr>
          <w:rFonts w:ascii="Arial" w:hAnsi="Arial" w:cs="Arial"/>
          <w:sz w:val="20"/>
          <w:szCs w:val="20"/>
        </w:rPr>
      </w:pPr>
    </w:p>
    <w:p w:rsidR="00870BFF" w:rsidRPr="00207EA4" w:rsidRDefault="00870BFF" w:rsidP="00870BFF">
      <w:pPr>
        <w:rPr>
          <w:rFonts w:ascii="Arial" w:hAnsi="Arial" w:cs="Arial"/>
          <w:sz w:val="20"/>
          <w:szCs w:val="20"/>
        </w:rPr>
      </w:pPr>
      <w:r w:rsidRPr="00207EA4">
        <w:rPr>
          <w:rFonts w:ascii="Arial" w:hAnsi="Arial" w:cs="Arial"/>
          <w:sz w:val="20"/>
          <w:szCs w:val="20"/>
        </w:rPr>
        <w:t>Learning Partner</w:t>
      </w:r>
    </w:p>
    <w:p w:rsidR="00870BFF" w:rsidRPr="00207EA4" w:rsidRDefault="00870BFF" w:rsidP="00870BFF">
      <w:pPr>
        <w:rPr>
          <w:rFonts w:ascii="Arial" w:hAnsi="Arial" w:cs="Arial"/>
          <w:sz w:val="20"/>
          <w:szCs w:val="20"/>
        </w:rPr>
      </w:pPr>
    </w:p>
    <w:p w:rsidR="00870BFF" w:rsidRPr="00207EA4" w:rsidRDefault="00870BFF" w:rsidP="00870BFF">
      <w:pPr>
        <w:rPr>
          <w:rFonts w:ascii="Arial" w:hAnsi="Arial" w:cs="Arial"/>
          <w:sz w:val="20"/>
          <w:szCs w:val="20"/>
        </w:rPr>
      </w:pPr>
      <w:r w:rsidRPr="00207EA4">
        <w:rPr>
          <w:rFonts w:ascii="Arial" w:hAnsi="Arial" w:cs="Arial"/>
          <w:sz w:val="20"/>
          <w:szCs w:val="20"/>
        </w:rPr>
        <w:t>District Manager</w:t>
      </w:r>
    </w:p>
    <w:p w:rsidR="00870BFF" w:rsidRPr="00207EA4" w:rsidRDefault="00870BFF" w:rsidP="00870BFF">
      <w:pPr>
        <w:rPr>
          <w:rFonts w:ascii="Arial" w:hAnsi="Arial" w:cs="Arial"/>
          <w:sz w:val="20"/>
          <w:szCs w:val="20"/>
        </w:rPr>
      </w:pPr>
    </w:p>
    <w:p w:rsidR="00870BFF" w:rsidRPr="00207EA4" w:rsidRDefault="00870BFF" w:rsidP="00870BFF">
      <w:pPr>
        <w:rPr>
          <w:rFonts w:ascii="Arial" w:hAnsi="Arial" w:cs="Arial"/>
          <w:sz w:val="20"/>
          <w:szCs w:val="20"/>
        </w:rPr>
      </w:pPr>
      <w:r w:rsidRPr="00207EA4">
        <w:rPr>
          <w:rFonts w:ascii="Arial" w:hAnsi="Arial" w:cs="Arial"/>
          <w:sz w:val="20"/>
          <w:szCs w:val="20"/>
        </w:rPr>
        <w:t>Region Manager</w:t>
      </w:r>
    </w:p>
    <w:p w:rsidR="00870BFF" w:rsidRPr="00207EA4" w:rsidRDefault="00870BFF" w:rsidP="00870BFF">
      <w:pPr>
        <w:rPr>
          <w:rFonts w:ascii="Arial" w:hAnsi="Arial" w:cs="Arial"/>
          <w:sz w:val="20"/>
          <w:szCs w:val="20"/>
        </w:rPr>
      </w:pPr>
    </w:p>
    <w:p w:rsidR="00344106" w:rsidRPr="00207EA4" w:rsidRDefault="00870BFF" w:rsidP="00870BFF">
      <w:pPr>
        <w:rPr>
          <w:rFonts w:ascii="Arial" w:hAnsi="Arial" w:cs="Arial"/>
          <w:sz w:val="20"/>
          <w:szCs w:val="20"/>
        </w:rPr>
      </w:pPr>
      <w:r w:rsidRPr="00207EA4">
        <w:rPr>
          <w:rFonts w:ascii="Arial" w:hAnsi="Arial" w:cs="Arial"/>
          <w:sz w:val="20"/>
          <w:szCs w:val="20"/>
        </w:rPr>
        <w:t xml:space="preserve">State </w:t>
      </w:r>
      <w:r w:rsidR="000F3D4C" w:rsidRPr="00207EA4">
        <w:rPr>
          <w:rFonts w:ascii="Arial" w:hAnsi="Arial" w:cs="Arial"/>
          <w:sz w:val="20"/>
          <w:szCs w:val="20"/>
        </w:rPr>
        <w:t xml:space="preserve">Risk </w:t>
      </w:r>
      <w:r w:rsidRPr="00207EA4">
        <w:rPr>
          <w:rFonts w:ascii="Arial" w:hAnsi="Arial" w:cs="Arial"/>
          <w:sz w:val="20"/>
          <w:szCs w:val="20"/>
        </w:rPr>
        <w:t>Representative</w:t>
      </w:r>
      <w:r w:rsidR="000F3D4C" w:rsidRPr="00207EA4">
        <w:rPr>
          <w:rFonts w:ascii="Arial" w:hAnsi="Arial" w:cs="Arial"/>
          <w:sz w:val="20"/>
          <w:szCs w:val="20"/>
        </w:rPr>
        <w:t>. This person sits on a national Risk Management Committee.</w:t>
      </w:r>
    </w:p>
    <w:sectPr w:rsidR="00344106" w:rsidRPr="00207EA4" w:rsidSect="00353028">
      <w:pgSz w:w="8419" w:h="11906" w:orient="landscape" w:code="9"/>
      <w:pgMar w:top="737" w:right="907" w:bottom="737" w:left="1304" w:header="57" w:footer="284"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422" w:rsidRDefault="00CC6422">
      <w:r>
        <w:separator/>
      </w:r>
    </w:p>
  </w:endnote>
  <w:endnote w:type="continuationSeparator" w:id="0">
    <w:p w:rsidR="00CC6422" w:rsidRDefault="00CC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egreya Sans Light">
    <w:altName w:val="Courier New"/>
    <w:panose1 w:val="00000400000000000000"/>
    <w:charset w:val="00"/>
    <w:family w:val="auto"/>
    <w:pitch w:val="variable"/>
    <w:sig w:usb0="00000001" w:usb1="00000000" w:usb2="00000000" w:usb3="00000000" w:csb0="00000193" w:csb1="00000000"/>
  </w:font>
  <w:font w:name="MS PGothic">
    <w:panose1 w:val="020B0600070205080204"/>
    <w:charset w:val="80"/>
    <w:family w:val="swiss"/>
    <w:pitch w:val="variable"/>
    <w:sig w:usb0="E00002FF" w:usb1="6AC7FDFB" w:usb2="08000012" w:usb3="00000000" w:csb0="0002009F" w:csb1="00000000"/>
  </w:font>
  <w:font w:name="Alegreya Sans">
    <w:altName w:val="Courier New"/>
    <w:panose1 w:val="00000500000000000000"/>
    <w:charset w:val="00"/>
    <w:family w:val="auto"/>
    <w:pitch w:val="variable"/>
    <w:sig w:usb0="00000001" w:usb1="00000000" w:usb2="00000000" w:usb3="00000000" w:csb0="00000193" w:csb1="00000000"/>
  </w:font>
  <w:font w:name="Segoe Print">
    <w:panose1 w:val="02000600000000000000"/>
    <w:charset w:val="00"/>
    <w:family w:val="auto"/>
    <w:pitch w:val="variable"/>
    <w:sig w:usb0="0000028F" w:usb1="00000000" w:usb2="00000000" w:usb3="00000000" w:csb0="0000009F" w:csb1="00000000"/>
  </w:font>
  <w:font w:name="GillSan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472528"/>
      <w:docPartObj>
        <w:docPartGallery w:val="Page Numbers (Bottom of Page)"/>
        <w:docPartUnique/>
      </w:docPartObj>
    </w:sdtPr>
    <w:sdtEndPr>
      <w:rPr>
        <w:noProof/>
      </w:rPr>
    </w:sdtEndPr>
    <w:sdtContent>
      <w:p w:rsidR="007A4A95" w:rsidRDefault="007A4A95" w:rsidP="007A4A95">
        <w:pPr>
          <w:pStyle w:val="Footer"/>
          <w:jc w:val="center"/>
          <w:rPr>
            <w:noProof/>
          </w:rPr>
        </w:pPr>
        <w:r w:rsidRPr="00A8753C">
          <w:t>GGA Manage Operational Risk</w:t>
        </w:r>
        <w:r w:rsidR="001762ED">
          <w:t xml:space="preserve"> Manual</w:t>
        </w:r>
        <w:r w:rsidRPr="00A8753C">
          <w:t xml:space="preserve"> V4 May 2017</w:t>
        </w:r>
      </w:p>
    </w:sdtContent>
  </w:sdt>
  <w:p w:rsidR="000131BD" w:rsidRDefault="000131BD" w:rsidP="007A4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422" w:rsidRDefault="00CC6422">
      <w:r>
        <w:separator/>
      </w:r>
    </w:p>
  </w:footnote>
  <w:footnote w:type="continuationSeparator" w:id="0">
    <w:p w:rsidR="00CC6422" w:rsidRDefault="00CC6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4D93"/>
    <w:multiLevelType w:val="hybridMultilevel"/>
    <w:tmpl w:val="9852E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A3912"/>
    <w:multiLevelType w:val="hybridMultilevel"/>
    <w:tmpl w:val="6C706AD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52B2A"/>
    <w:multiLevelType w:val="hybridMultilevel"/>
    <w:tmpl w:val="019ADB34"/>
    <w:lvl w:ilvl="0" w:tplc="0C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B63A7C"/>
    <w:multiLevelType w:val="hybridMultilevel"/>
    <w:tmpl w:val="CDEC7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8252CAE"/>
    <w:multiLevelType w:val="hybridMultilevel"/>
    <w:tmpl w:val="95DEFD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8665197"/>
    <w:multiLevelType w:val="hybridMultilevel"/>
    <w:tmpl w:val="C4BCE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31E45"/>
    <w:multiLevelType w:val="hybridMultilevel"/>
    <w:tmpl w:val="EA7AC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007DCD"/>
    <w:multiLevelType w:val="hybridMultilevel"/>
    <w:tmpl w:val="F73AF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145EA1"/>
    <w:multiLevelType w:val="hybridMultilevel"/>
    <w:tmpl w:val="13FCE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A3621D"/>
    <w:multiLevelType w:val="hybridMultilevel"/>
    <w:tmpl w:val="5FF262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171CAA"/>
    <w:multiLevelType w:val="hybridMultilevel"/>
    <w:tmpl w:val="9BC09CF0"/>
    <w:lvl w:ilvl="0" w:tplc="0C090001">
      <w:start w:val="1"/>
      <w:numFmt w:val="bullet"/>
      <w:lvlText w:val=""/>
      <w:lvlJc w:val="left"/>
      <w:pPr>
        <w:ind w:left="1210" w:hanging="360"/>
      </w:pPr>
      <w:rPr>
        <w:rFonts w:ascii="Symbol" w:hAnsi="Symbol" w:hint="default"/>
      </w:rPr>
    </w:lvl>
    <w:lvl w:ilvl="1" w:tplc="0C090001">
      <w:start w:val="1"/>
      <w:numFmt w:val="bullet"/>
      <w:lvlText w:val=""/>
      <w:lvlJc w:val="left"/>
      <w:pPr>
        <w:ind w:left="1930" w:hanging="360"/>
      </w:pPr>
      <w:rPr>
        <w:rFonts w:ascii="Symbol" w:hAnsi="Symbol" w:hint="default"/>
      </w:r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1" w15:restartNumberingAfterBreak="0">
    <w:nsid w:val="2220642B"/>
    <w:multiLevelType w:val="hybridMultilevel"/>
    <w:tmpl w:val="3B245552"/>
    <w:lvl w:ilvl="0" w:tplc="0C09000F">
      <w:start w:val="1"/>
      <w:numFmt w:val="decimal"/>
      <w:lvlText w:val="%1."/>
      <w:lvlJc w:val="left"/>
      <w:pPr>
        <w:ind w:left="1210" w:hanging="360"/>
      </w:p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12" w15:restartNumberingAfterBreak="0">
    <w:nsid w:val="25851CEA"/>
    <w:multiLevelType w:val="hybridMultilevel"/>
    <w:tmpl w:val="C28C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C41C59"/>
    <w:multiLevelType w:val="hybridMultilevel"/>
    <w:tmpl w:val="EB2C8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1860E2"/>
    <w:multiLevelType w:val="hybridMultilevel"/>
    <w:tmpl w:val="EC96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0C6ED1"/>
    <w:multiLevelType w:val="hybridMultilevel"/>
    <w:tmpl w:val="35265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C2422C"/>
    <w:multiLevelType w:val="hybridMultilevel"/>
    <w:tmpl w:val="96DCF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D62207"/>
    <w:multiLevelType w:val="hybridMultilevel"/>
    <w:tmpl w:val="68C6D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B2D0A9F"/>
    <w:multiLevelType w:val="hybridMultilevel"/>
    <w:tmpl w:val="3AF40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4A4F72"/>
    <w:multiLevelType w:val="hybridMultilevel"/>
    <w:tmpl w:val="5C86188A"/>
    <w:lvl w:ilvl="0" w:tplc="708ABDD0">
      <w:numFmt w:val="bullet"/>
      <w:lvlText w:val="•"/>
      <w:lvlJc w:val="left"/>
      <w:pPr>
        <w:ind w:left="765" w:hanging="4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D4DBC"/>
    <w:multiLevelType w:val="hybridMultilevel"/>
    <w:tmpl w:val="7764C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C35700"/>
    <w:multiLevelType w:val="hybridMultilevel"/>
    <w:tmpl w:val="AEFA2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0C51AB"/>
    <w:multiLevelType w:val="hybridMultilevel"/>
    <w:tmpl w:val="B1E08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3060E9"/>
    <w:multiLevelType w:val="hybridMultilevel"/>
    <w:tmpl w:val="2430B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041588"/>
    <w:multiLevelType w:val="hybridMultilevel"/>
    <w:tmpl w:val="602A83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841ECD"/>
    <w:multiLevelType w:val="hybridMultilevel"/>
    <w:tmpl w:val="C32291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EEB79DA"/>
    <w:multiLevelType w:val="hybridMultilevel"/>
    <w:tmpl w:val="C018E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1F87901"/>
    <w:multiLevelType w:val="hybridMultilevel"/>
    <w:tmpl w:val="B7802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2B37C5"/>
    <w:multiLevelType w:val="hybridMultilevel"/>
    <w:tmpl w:val="61B2810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FE970D9"/>
    <w:multiLevelType w:val="hybridMultilevel"/>
    <w:tmpl w:val="1FA094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3F0508"/>
    <w:multiLevelType w:val="hybridMultilevel"/>
    <w:tmpl w:val="40FC5B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2850420"/>
    <w:multiLevelType w:val="hybridMultilevel"/>
    <w:tmpl w:val="77FEDB2E"/>
    <w:lvl w:ilvl="0" w:tplc="04090001">
      <w:start w:val="1"/>
      <w:numFmt w:val="bullet"/>
      <w:lvlText w:val=""/>
      <w:lvlJc w:val="left"/>
      <w:pPr>
        <w:ind w:left="360" w:hanging="360"/>
      </w:pPr>
      <w:rPr>
        <w:rFonts w:ascii="Symbol" w:hAnsi="Symbol" w:hint="default"/>
      </w:rPr>
    </w:lvl>
    <w:lvl w:ilvl="1" w:tplc="24C0555C">
      <w:numFmt w:val="bullet"/>
      <w:lvlText w:val="•"/>
      <w:lvlJc w:val="left"/>
      <w:pPr>
        <w:ind w:left="1440" w:hanging="72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85F08C2"/>
    <w:multiLevelType w:val="hybridMultilevel"/>
    <w:tmpl w:val="53B4A458"/>
    <w:lvl w:ilvl="0" w:tplc="0C09000F">
      <w:start w:val="1"/>
      <w:numFmt w:val="decimal"/>
      <w:lvlText w:val="%1."/>
      <w:lvlJc w:val="left"/>
      <w:pPr>
        <w:ind w:left="1732" w:hanging="360"/>
      </w:pPr>
    </w:lvl>
    <w:lvl w:ilvl="1" w:tplc="0C090019" w:tentative="1">
      <w:start w:val="1"/>
      <w:numFmt w:val="lowerLetter"/>
      <w:lvlText w:val="%2."/>
      <w:lvlJc w:val="left"/>
      <w:pPr>
        <w:ind w:left="2452" w:hanging="360"/>
      </w:pPr>
    </w:lvl>
    <w:lvl w:ilvl="2" w:tplc="0C09001B" w:tentative="1">
      <w:start w:val="1"/>
      <w:numFmt w:val="lowerRoman"/>
      <w:lvlText w:val="%3."/>
      <w:lvlJc w:val="right"/>
      <w:pPr>
        <w:ind w:left="3172" w:hanging="180"/>
      </w:pPr>
    </w:lvl>
    <w:lvl w:ilvl="3" w:tplc="0C09000F" w:tentative="1">
      <w:start w:val="1"/>
      <w:numFmt w:val="decimal"/>
      <w:lvlText w:val="%4."/>
      <w:lvlJc w:val="left"/>
      <w:pPr>
        <w:ind w:left="3892" w:hanging="360"/>
      </w:pPr>
    </w:lvl>
    <w:lvl w:ilvl="4" w:tplc="0C090019" w:tentative="1">
      <w:start w:val="1"/>
      <w:numFmt w:val="lowerLetter"/>
      <w:lvlText w:val="%5."/>
      <w:lvlJc w:val="left"/>
      <w:pPr>
        <w:ind w:left="4612" w:hanging="360"/>
      </w:pPr>
    </w:lvl>
    <w:lvl w:ilvl="5" w:tplc="0C09001B" w:tentative="1">
      <w:start w:val="1"/>
      <w:numFmt w:val="lowerRoman"/>
      <w:lvlText w:val="%6."/>
      <w:lvlJc w:val="right"/>
      <w:pPr>
        <w:ind w:left="5332" w:hanging="180"/>
      </w:pPr>
    </w:lvl>
    <w:lvl w:ilvl="6" w:tplc="0C09000F" w:tentative="1">
      <w:start w:val="1"/>
      <w:numFmt w:val="decimal"/>
      <w:lvlText w:val="%7."/>
      <w:lvlJc w:val="left"/>
      <w:pPr>
        <w:ind w:left="6052" w:hanging="360"/>
      </w:pPr>
    </w:lvl>
    <w:lvl w:ilvl="7" w:tplc="0C090019" w:tentative="1">
      <w:start w:val="1"/>
      <w:numFmt w:val="lowerLetter"/>
      <w:lvlText w:val="%8."/>
      <w:lvlJc w:val="left"/>
      <w:pPr>
        <w:ind w:left="6772" w:hanging="360"/>
      </w:pPr>
    </w:lvl>
    <w:lvl w:ilvl="8" w:tplc="0C09001B" w:tentative="1">
      <w:start w:val="1"/>
      <w:numFmt w:val="lowerRoman"/>
      <w:lvlText w:val="%9."/>
      <w:lvlJc w:val="right"/>
      <w:pPr>
        <w:ind w:left="7492" w:hanging="180"/>
      </w:pPr>
    </w:lvl>
  </w:abstractNum>
  <w:abstractNum w:abstractNumId="33" w15:restartNumberingAfterBreak="0">
    <w:nsid w:val="59FF5F0E"/>
    <w:multiLevelType w:val="hybridMultilevel"/>
    <w:tmpl w:val="D6DAE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B15753"/>
    <w:multiLevelType w:val="hybridMultilevel"/>
    <w:tmpl w:val="14F68A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0624C3C"/>
    <w:multiLevelType w:val="hybridMultilevel"/>
    <w:tmpl w:val="C61C9B7C"/>
    <w:lvl w:ilvl="0" w:tplc="4AA8660C">
      <w:start w:val="1"/>
      <w:numFmt w:val="bullet"/>
      <w:lvlText w:val="–"/>
      <w:lvlJc w:val="left"/>
      <w:pPr>
        <w:tabs>
          <w:tab w:val="num" w:pos="720"/>
        </w:tabs>
        <w:ind w:left="720" w:hanging="360"/>
      </w:pPr>
      <w:rPr>
        <w:rFonts w:ascii="Arial" w:hAnsi="Arial" w:hint="default"/>
      </w:rPr>
    </w:lvl>
    <w:lvl w:ilvl="1" w:tplc="739CAB92">
      <w:start w:val="1"/>
      <w:numFmt w:val="bullet"/>
      <w:lvlText w:val="–"/>
      <w:lvlJc w:val="left"/>
      <w:pPr>
        <w:tabs>
          <w:tab w:val="num" w:pos="1440"/>
        </w:tabs>
        <w:ind w:left="1440" w:hanging="360"/>
      </w:pPr>
      <w:rPr>
        <w:rFonts w:ascii="Arial" w:hAnsi="Arial" w:hint="default"/>
      </w:rPr>
    </w:lvl>
    <w:lvl w:ilvl="2" w:tplc="8CEA7F20" w:tentative="1">
      <w:start w:val="1"/>
      <w:numFmt w:val="bullet"/>
      <w:lvlText w:val="–"/>
      <w:lvlJc w:val="left"/>
      <w:pPr>
        <w:tabs>
          <w:tab w:val="num" w:pos="2160"/>
        </w:tabs>
        <w:ind w:left="2160" w:hanging="360"/>
      </w:pPr>
      <w:rPr>
        <w:rFonts w:ascii="Arial" w:hAnsi="Arial" w:hint="default"/>
      </w:rPr>
    </w:lvl>
    <w:lvl w:ilvl="3" w:tplc="4DFE7222" w:tentative="1">
      <w:start w:val="1"/>
      <w:numFmt w:val="bullet"/>
      <w:lvlText w:val="–"/>
      <w:lvlJc w:val="left"/>
      <w:pPr>
        <w:tabs>
          <w:tab w:val="num" w:pos="2880"/>
        </w:tabs>
        <w:ind w:left="2880" w:hanging="360"/>
      </w:pPr>
      <w:rPr>
        <w:rFonts w:ascii="Arial" w:hAnsi="Arial" w:hint="default"/>
      </w:rPr>
    </w:lvl>
    <w:lvl w:ilvl="4" w:tplc="0FD0EFFA" w:tentative="1">
      <w:start w:val="1"/>
      <w:numFmt w:val="bullet"/>
      <w:lvlText w:val="–"/>
      <w:lvlJc w:val="left"/>
      <w:pPr>
        <w:tabs>
          <w:tab w:val="num" w:pos="3600"/>
        </w:tabs>
        <w:ind w:left="3600" w:hanging="360"/>
      </w:pPr>
      <w:rPr>
        <w:rFonts w:ascii="Arial" w:hAnsi="Arial" w:hint="default"/>
      </w:rPr>
    </w:lvl>
    <w:lvl w:ilvl="5" w:tplc="CFFEC4B4" w:tentative="1">
      <w:start w:val="1"/>
      <w:numFmt w:val="bullet"/>
      <w:lvlText w:val="–"/>
      <w:lvlJc w:val="left"/>
      <w:pPr>
        <w:tabs>
          <w:tab w:val="num" w:pos="4320"/>
        </w:tabs>
        <w:ind w:left="4320" w:hanging="360"/>
      </w:pPr>
      <w:rPr>
        <w:rFonts w:ascii="Arial" w:hAnsi="Arial" w:hint="default"/>
      </w:rPr>
    </w:lvl>
    <w:lvl w:ilvl="6" w:tplc="B55E44CE" w:tentative="1">
      <w:start w:val="1"/>
      <w:numFmt w:val="bullet"/>
      <w:lvlText w:val="–"/>
      <w:lvlJc w:val="left"/>
      <w:pPr>
        <w:tabs>
          <w:tab w:val="num" w:pos="5040"/>
        </w:tabs>
        <w:ind w:left="5040" w:hanging="360"/>
      </w:pPr>
      <w:rPr>
        <w:rFonts w:ascii="Arial" w:hAnsi="Arial" w:hint="default"/>
      </w:rPr>
    </w:lvl>
    <w:lvl w:ilvl="7" w:tplc="F3ACD168" w:tentative="1">
      <w:start w:val="1"/>
      <w:numFmt w:val="bullet"/>
      <w:lvlText w:val="–"/>
      <w:lvlJc w:val="left"/>
      <w:pPr>
        <w:tabs>
          <w:tab w:val="num" w:pos="5760"/>
        </w:tabs>
        <w:ind w:left="5760" w:hanging="360"/>
      </w:pPr>
      <w:rPr>
        <w:rFonts w:ascii="Arial" w:hAnsi="Arial" w:hint="default"/>
      </w:rPr>
    </w:lvl>
    <w:lvl w:ilvl="8" w:tplc="33DE1CE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726C49"/>
    <w:multiLevelType w:val="hybridMultilevel"/>
    <w:tmpl w:val="BD68AE6A"/>
    <w:lvl w:ilvl="0" w:tplc="0C090001">
      <w:start w:val="1"/>
      <w:numFmt w:val="bullet"/>
      <w:lvlText w:val=""/>
      <w:lvlJc w:val="left"/>
      <w:pPr>
        <w:ind w:left="361" w:hanging="360"/>
      </w:pPr>
      <w:rPr>
        <w:rFonts w:ascii="Symbol" w:hAnsi="Symbo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7" w15:restartNumberingAfterBreak="0">
    <w:nsid w:val="62AE698E"/>
    <w:multiLevelType w:val="hybridMultilevel"/>
    <w:tmpl w:val="8050F9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CB00DF"/>
    <w:multiLevelType w:val="hybridMultilevel"/>
    <w:tmpl w:val="1FD6D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9C1559C"/>
    <w:multiLevelType w:val="hybridMultilevel"/>
    <w:tmpl w:val="168C5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A7964E8"/>
    <w:multiLevelType w:val="hybridMultilevel"/>
    <w:tmpl w:val="BDFE48E2"/>
    <w:lvl w:ilvl="0" w:tplc="0C090001">
      <w:start w:val="1"/>
      <w:numFmt w:val="bullet"/>
      <w:lvlText w:val=""/>
      <w:lvlJc w:val="left"/>
      <w:pPr>
        <w:ind w:left="2781" w:hanging="360"/>
      </w:pPr>
      <w:rPr>
        <w:rFonts w:ascii="Symbol" w:hAnsi="Symbol" w:hint="default"/>
      </w:rPr>
    </w:lvl>
    <w:lvl w:ilvl="1" w:tplc="0C090003" w:tentative="1">
      <w:start w:val="1"/>
      <w:numFmt w:val="bullet"/>
      <w:lvlText w:val="o"/>
      <w:lvlJc w:val="left"/>
      <w:pPr>
        <w:ind w:left="3501" w:hanging="360"/>
      </w:pPr>
      <w:rPr>
        <w:rFonts w:ascii="Courier New" w:hAnsi="Courier New" w:cs="Courier New" w:hint="default"/>
      </w:rPr>
    </w:lvl>
    <w:lvl w:ilvl="2" w:tplc="0C090005" w:tentative="1">
      <w:start w:val="1"/>
      <w:numFmt w:val="bullet"/>
      <w:lvlText w:val=""/>
      <w:lvlJc w:val="left"/>
      <w:pPr>
        <w:ind w:left="4221" w:hanging="360"/>
      </w:pPr>
      <w:rPr>
        <w:rFonts w:ascii="Wingdings" w:hAnsi="Wingdings" w:hint="default"/>
      </w:rPr>
    </w:lvl>
    <w:lvl w:ilvl="3" w:tplc="0C090001" w:tentative="1">
      <w:start w:val="1"/>
      <w:numFmt w:val="bullet"/>
      <w:lvlText w:val=""/>
      <w:lvlJc w:val="left"/>
      <w:pPr>
        <w:ind w:left="4941" w:hanging="360"/>
      </w:pPr>
      <w:rPr>
        <w:rFonts w:ascii="Symbol" w:hAnsi="Symbol" w:hint="default"/>
      </w:rPr>
    </w:lvl>
    <w:lvl w:ilvl="4" w:tplc="0C090003" w:tentative="1">
      <w:start w:val="1"/>
      <w:numFmt w:val="bullet"/>
      <w:lvlText w:val="o"/>
      <w:lvlJc w:val="left"/>
      <w:pPr>
        <w:ind w:left="5661" w:hanging="360"/>
      </w:pPr>
      <w:rPr>
        <w:rFonts w:ascii="Courier New" w:hAnsi="Courier New" w:cs="Courier New" w:hint="default"/>
      </w:rPr>
    </w:lvl>
    <w:lvl w:ilvl="5" w:tplc="0C090005" w:tentative="1">
      <w:start w:val="1"/>
      <w:numFmt w:val="bullet"/>
      <w:lvlText w:val=""/>
      <w:lvlJc w:val="left"/>
      <w:pPr>
        <w:ind w:left="6381" w:hanging="360"/>
      </w:pPr>
      <w:rPr>
        <w:rFonts w:ascii="Wingdings" w:hAnsi="Wingdings" w:hint="default"/>
      </w:rPr>
    </w:lvl>
    <w:lvl w:ilvl="6" w:tplc="0C090001" w:tentative="1">
      <w:start w:val="1"/>
      <w:numFmt w:val="bullet"/>
      <w:lvlText w:val=""/>
      <w:lvlJc w:val="left"/>
      <w:pPr>
        <w:ind w:left="7101" w:hanging="360"/>
      </w:pPr>
      <w:rPr>
        <w:rFonts w:ascii="Symbol" w:hAnsi="Symbol" w:hint="default"/>
      </w:rPr>
    </w:lvl>
    <w:lvl w:ilvl="7" w:tplc="0C090003" w:tentative="1">
      <w:start w:val="1"/>
      <w:numFmt w:val="bullet"/>
      <w:lvlText w:val="o"/>
      <w:lvlJc w:val="left"/>
      <w:pPr>
        <w:ind w:left="7821" w:hanging="360"/>
      </w:pPr>
      <w:rPr>
        <w:rFonts w:ascii="Courier New" w:hAnsi="Courier New" w:cs="Courier New" w:hint="default"/>
      </w:rPr>
    </w:lvl>
    <w:lvl w:ilvl="8" w:tplc="0C090005" w:tentative="1">
      <w:start w:val="1"/>
      <w:numFmt w:val="bullet"/>
      <w:lvlText w:val=""/>
      <w:lvlJc w:val="left"/>
      <w:pPr>
        <w:ind w:left="8541" w:hanging="360"/>
      </w:pPr>
      <w:rPr>
        <w:rFonts w:ascii="Wingdings" w:hAnsi="Wingdings" w:hint="default"/>
      </w:rPr>
    </w:lvl>
  </w:abstractNum>
  <w:abstractNum w:abstractNumId="41" w15:restartNumberingAfterBreak="0">
    <w:nsid w:val="75377DBD"/>
    <w:multiLevelType w:val="hybridMultilevel"/>
    <w:tmpl w:val="41967A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0"/>
  </w:num>
  <w:num w:numId="2">
    <w:abstractNumId w:val="27"/>
  </w:num>
  <w:num w:numId="3">
    <w:abstractNumId w:val="39"/>
  </w:num>
  <w:num w:numId="4">
    <w:abstractNumId w:val="3"/>
  </w:num>
  <w:num w:numId="5">
    <w:abstractNumId w:val="30"/>
  </w:num>
  <w:num w:numId="6">
    <w:abstractNumId w:val="2"/>
  </w:num>
  <w:num w:numId="7">
    <w:abstractNumId w:val="4"/>
  </w:num>
  <w:num w:numId="8">
    <w:abstractNumId w:val="37"/>
  </w:num>
  <w:num w:numId="9">
    <w:abstractNumId w:val="38"/>
  </w:num>
  <w:num w:numId="10">
    <w:abstractNumId w:val="14"/>
  </w:num>
  <w:num w:numId="11">
    <w:abstractNumId w:val="9"/>
  </w:num>
  <w:num w:numId="12">
    <w:abstractNumId w:val="7"/>
  </w:num>
  <w:num w:numId="13">
    <w:abstractNumId w:val="16"/>
  </w:num>
  <w:num w:numId="14">
    <w:abstractNumId w:val="18"/>
  </w:num>
  <w:num w:numId="15">
    <w:abstractNumId w:val="17"/>
  </w:num>
  <w:num w:numId="16">
    <w:abstractNumId w:val="6"/>
  </w:num>
  <w:num w:numId="17">
    <w:abstractNumId w:val="40"/>
  </w:num>
  <w:num w:numId="18">
    <w:abstractNumId w:val="13"/>
  </w:num>
  <w:num w:numId="19">
    <w:abstractNumId w:val="34"/>
  </w:num>
  <w:num w:numId="20">
    <w:abstractNumId w:val="28"/>
  </w:num>
  <w:num w:numId="21">
    <w:abstractNumId w:val="35"/>
  </w:num>
  <w:num w:numId="22">
    <w:abstractNumId w:val="25"/>
  </w:num>
  <w:num w:numId="23">
    <w:abstractNumId w:val="11"/>
  </w:num>
  <w:num w:numId="24">
    <w:abstractNumId w:val="32"/>
  </w:num>
  <w:num w:numId="25">
    <w:abstractNumId w:val="0"/>
  </w:num>
  <w:num w:numId="26">
    <w:abstractNumId w:val="15"/>
  </w:num>
  <w:num w:numId="27">
    <w:abstractNumId w:val="41"/>
  </w:num>
  <w:num w:numId="28">
    <w:abstractNumId w:val="26"/>
  </w:num>
  <w:num w:numId="29">
    <w:abstractNumId w:val="33"/>
  </w:num>
  <w:num w:numId="30">
    <w:abstractNumId w:val="29"/>
  </w:num>
  <w:num w:numId="31">
    <w:abstractNumId w:val="36"/>
  </w:num>
  <w:num w:numId="32">
    <w:abstractNumId w:val="10"/>
  </w:num>
  <w:num w:numId="33">
    <w:abstractNumId w:val="31"/>
  </w:num>
  <w:num w:numId="34">
    <w:abstractNumId w:val="22"/>
  </w:num>
  <w:num w:numId="35">
    <w:abstractNumId w:val="19"/>
  </w:num>
  <w:num w:numId="36">
    <w:abstractNumId w:val="5"/>
  </w:num>
  <w:num w:numId="37">
    <w:abstractNumId w:val="24"/>
  </w:num>
  <w:num w:numId="38">
    <w:abstractNumId w:val="23"/>
  </w:num>
  <w:num w:numId="39">
    <w:abstractNumId w:val="1"/>
  </w:num>
  <w:num w:numId="40">
    <w:abstractNumId w:val="21"/>
  </w:num>
  <w:num w:numId="41">
    <w:abstractNumId w:val="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DB"/>
    <w:rsid w:val="00001FA8"/>
    <w:rsid w:val="000131BD"/>
    <w:rsid w:val="000221BF"/>
    <w:rsid w:val="00025C95"/>
    <w:rsid w:val="00025F76"/>
    <w:rsid w:val="00026F9B"/>
    <w:rsid w:val="00030331"/>
    <w:rsid w:val="00033B05"/>
    <w:rsid w:val="00050CC2"/>
    <w:rsid w:val="000A33CD"/>
    <w:rsid w:val="000A3795"/>
    <w:rsid w:val="000B4437"/>
    <w:rsid w:val="000C69E3"/>
    <w:rsid w:val="000E0260"/>
    <w:rsid w:val="000F3D4C"/>
    <w:rsid w:val="00140633"/>
    <w:rsid w:val="00141AA0"/>
    <w:rsid w:val="0017139A"/>
    <w:rsid w:val="001762ED"/>
    <w:rsid w:val="0019269A"/>
    <w:rsid w:val="001D73D5"/>
    <w:rsid w:val="001F6553"/>
    <w:rsid w:val="00207EA4"/>
    <w:rsid w:val="002512D5"/>
    <w:rsid w:val="002939A3"/>
    <w:rsid w:val="00296051"/>
    <w:rsid w:val="002C2FDA"/>
    <w:rsid w:val="002F5C19"/>
    <w:rsid w:val="00325C24"/>
    <w:rsid w:val="00342AC9"/>
    <w:rsid w:val="00344106"/>
    <w:rsid w:val="00353028"/>
    <w:rsid w:val="00370542"/>
    <w:rsid w:val="00373CF9"/>
    <w:rsid w:val="00397B34"/>
    <w:rsid w:val="003B28E4"/>
    <w:rsid w:val="003B3F8C"/>
    <w:rsid w:val="003B69DD"/>
    <w:rsid w:val="003F1826"/>
    <w:rsid w:val="00436AC5"/>
    <w:rsid w:val="004410EE"/>
    <w:rsid w:val="00456A7D"/>
    <w:rsid w:val="00474EE3"/>
    <w:rsid w:val="00483FED"/>
    <w:rsid w:val="00485A9B"/>
    <w:rsid w:val="004F2F8E"/>
    <w:rsid w:val="004F32B7"/>
    <w:rsid w:val="00503254"/>
    <w:rsid w:val="00537B4D"/>
    <w:rsid w:val="0059332E"/>
    <w:rsid w:val="005A5C67"/>
    <w:rsid w:val="005B181F"/>
    <w:rsid w:val="005C0A75"/>
    <w:rsid w:val="005C2D58"/>
    <w:rsid w:val="00604595"/>
    <w:rsid w:val="00647E28"/>
    <w:rsid w:val="006626B6"/>
    <w:rsid w:val="006836E5"/>
    <w:rsid w:val="006908DC"/>
    <w:rsid w:val="006C7F88"/>
    <w:rsid w:val="006E14DD"/>
    <w:rsid w:val="006F38BF"/>
    <w:rsid w:val="007814A5"/>
    <w:rsid w:val="0079302A"/>
    <w:rsid w:val="007A4A95"/>
    <w:rsid w:val="00807D1D"/>
    <w:rsid w:val="00814EA4"/>
    <w:rsid w:val="00831D29"/>
    <w:rsid w:val="008441D8"/>
    <w:rsid w:val="00845961"/>
    <w:rsid w:val="00870BFF"/>
    <w:rsid w:val="00877DCD"/>
    <w:rsid w:val="00896FCB"/>
    <w:rsid w:val="008B3CF4"/>
    <w:rsid w:val="008E75CC"/>
    <w:rsid w:val="008F3452"/>
    <w:rsid w:val="009146B1"/>
    <w:rsid w:val="00922633"/>
    <w:rsid w:val="009265E4"/>
    <w:rsid w:val="00973BCB"/>
    <w:rsid w:val="009B175F"/>
    <w:rsid w:val="009D49ED"/>
    <w:rsid w:val="009E0CE4"/>
    <w:rsid w:val="009E2842"/>
    <w:rsid w:val="009E2CC6"/>
    <w:rsid w:val="00A07415"/>
    <w:rsid w:val="00A1386A"/>
    <w:rsid w:val="00A2235C"/>
    <w:rsid w:val="00A261BF"/>
    <w:rsid w:val="00A35557"/>
    <w:rsid w:val="00A61E02"/>
    <w:rsid w:val="00A80FBF"/>
    <w:rsid w:val="00A82FDE"/>
    <w:rsid w:val="00A8753C"/>
    <w:rsid w:val="00A9576C"/>
    <w:rsid w:val="00AA2FB8"/>
    <w:rsid w:val="00AD6F28"/>
    <w:rsid w:val="00AF5B58"/>
    <w:rsid w:val="00B21DB6"/>
    <w:rsid w:val="00B34969"/>
    <w:rsid w:val="00B3651A"/>
    <w:rsid w:val="00B514BA"/>
    <w:rsid w:val="00B53148"/>
    <w:rsid w:val="00B6497F"/>
    <w:rsid w:val="00B86DE4"/>
    <w:rsid w:val="00BC07DF"/>
    <w:rsid w:val="00BC40E5"/>
    <w:rsid w:val="00BC4331"/>
    <w:rsid w:val="00BC7BF9"/>
    <w:rsid w:val="00BD0762"/>
    <w:rsid w:val="00BD14E8"/>
    <w:rsid w:val="00BD36E6"/>
    <w:rsid w:val="00C0538B"/>
    <w:rsid w:val="00C054B8"/>
    <w:rsid w:val="00C301B9"/>
    <w:rsid w:val="00C3776B"/>
    <w:rsid w:val="00C6362F"/>
    <w:rsid w:val="00C8165E"/>
    <w:rsid w:val="00C92962"/>
    <w:rsid w:val="00CA6611"/>
    <w:rsid w:val="00CB3C69"/>
    <w:rsid w:val="00CC6422"/>
    <w:rsid w:val="00CE2824"/>
    <w:rsid w:val="00CF38B8"/>
    <w:rsid w:val="00D20110"/>
    <w:rsid w:val="00D21393"/>
    <w:rsid w:val="00D23DDA"/>
    <w:rsid w:val="00D32650"/>
    <w:rsid w:val="00D3376D"/>
    <w:rsid w:val="00D34345"/>
    <w:rsid w:val="00D40A17"/>
    <w:rsid w:val="00D53421"/>
    <w:rsid w:val="00D61911"/>
    <w:rsid w:val="00D92C7A"/>
    <w:rsid w:val="00D93914"/>
    <w:rsid w:val="00DA25CC"/>
    <w:rsid w:val="00DB1F50"/>
    <w:rsid w:val="00DD6084"/>
    <w:rsid w:val="00DD73DF"/>
    <w:rsid w:val="00DE2A69"/>
    <w:rsid w:val="00DE4B00"/>
    <w:rsid w:val="00DF1292"/>
    <w:rsid w:val="00DF64F4"/>
    <w:rsid w:val="00E20CDB"/>
    <w:rsid w:val="00E33F41"/>
    <w:rsid w:val="00E434FB"/>
    <w:rsid w:val="00E435C6"/>
    <w:rsid w:val="00E70332"/>
    <w:rsid w:val="00EB3605"/>
    <w:rsid w:val="00EB50A4"/>
    <w:rsid w:val="00ED65F8"/>
    <w:rsid w:val="00EE255F"/>
    <w:rsid w:val="00F3024D"/>
    <w:rsid w:val="00F45092"/>
    <w:rsid w:val="00F50D4C"/>
    <w:rsid w:val="00F53C74"/>
    <w:rsid w:val="00F70369"/>
    <w:rsid w:val="00F74C8A"/>
    <w:rsid w:val="00FA106D"/>
    <w:rsid w:val="00FA76FD"/>
    <w:rsid w:val="00FC1A5B"/>
    <w:rsid w:val="00FC6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4A335-0B37-41DB-A917-3AEF816D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u w:val="words"/>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611"/>
    <w:rPr>
      <w:u w:val="none"/>
    </w:rPr>
  </w:style>
  <w:style w:type="paragraph" w:styleId="Heading1">
    <w:name w:val="heading 1"/>
    <w:basedOn w:val="Normal"/>
    <w:link w:val="Heading1Char"/>
    <w:uiPriority w:val="9"/>
    <w:qFormat/>
    <w:rsid w:val="00CA6611"/>
    <w:pPr>
      <w:spacing w:before="240" w:after="240"/>
      <w:outlineLvl w:val="0"/>
    </w:pPr>
    <w:rPr>
      <w:rFonts w:asciiTheme="majorHAnsi" w:eastAsia="Times New Roman" w:hAnsiTheme="majorHAnsi" w:cs="Times New Roman"/>
      <w:b/>
      <w:bCs/>
      <w:color w:val="0070C0"/>
      <w:kern w:val="36"/>
      <w:sz w:val="33"/>
      <w:szCs w:val="33"/>
      <w:lang w:eastAsia="en-AU"/>
    </w:rPr>
  </w:style>
  <w:style w:type="paragraph" w:styleId="Heading2">
    <w:name w:val="heading 2"/>
    <w:basedOn w:val="Normal"/>
    <w:link w:val="Heading2Char"/>
    <w:uiPriority w:val="9"/>
    <w:qFormat/>
    <w:rsid w:val="00CA6611"/>
    <w:pPr>
      <w:spacing w:before="240" w:after="240"/>
      <w:outlineLvl w:val="1"/>
    </w:pPr>
    <w:rPr>
      <w:rFonts w:asciiTheme="majorHAnsi" w:eastAsia="Times New Roman" w:hAnsiTheme="majorHAnsi" w:cs="Times New Roman"/>
      <w:b/>
      <w:bCs/>
      <w:color w:val="0070C0"/>
      <w:sz w:val="30"/>
      <w:szCs w:val="30"/>
      <w:lang w:eastAsia="en-AU"/>
    </w:rPr>
  </w:style>
  <w:style w:type="paragraph" w:styleId="Heading3">
    <w:name w:val="heading 3"/>
    <w:basedOn w:val="Normal"/>
    <w:link w:val="Heading3Char"/>
    <w:uiPriority w:val="9"/>
    <w:qFormat/>
    <w:rsid w:val="00CA6611"/>
    <w:pPr>
      <w:spacing w:before="240" w:after="240"/>
      <w:outlineLvl w:val="2"/>
    </w:pPr>
    <w:rPr>
      <w:rFonts w:asciiTheme="majorHAnsi" w:eastAsia="Times New Roman" w:hAnsiTheme="majorHAnsi" w:cs="Times New Roman"/>
      <w:b/>
      <w:bCs/>
      <w:color w:val="0070C0"/>
      <w:sz w:val="26"/>
      <w:szCs w:val="26"/>
      <w:lang w:eastAsia="en-AU"/>
    </w:rPr>
  </w:style>
  <w:style w:type="paragraph" w:styleId="Heading4">
    <w:name w:val="heading 4"/>
    <w:basedOn w:val="Normal"/>
    <w:link w:val="Heading4Char"/>
    <w:uiPriority w:val="9"/>
    <w:qFormat/>
    <w:rsid w:val="00CA6611"/>
    <w:pPr>
      <w:spacing w:before="100" w:beforeAutospacing="1" w:after="100" w:afterAutospacing="1"/>
      <w:outlineLvl w:val="3"/>
    </w:pPr>
    <w:rPr>
      <w:rFonts w:asciiTheme="majorHAnsi" w:eastAsia="Times New Roman" w:hAnsiTheme="majorHAnsi" w:cs="Times New Roman"/>
      <w:b/>
      <w:bCs/>
      <w:color w:val="0070C0"/>
      <w:sz w:val="24"/>
      <w:szCs w:val="24"/>
      <w:lang w:eastAsia="en-AU"/>
    </w:rPr>
  </w:style>
  <w:style w:type="paragraph" w:styleId="Heading5">
    <w:name w:val="heading 5"/>
    <w:basedOn w:val="Normal"/>
    <w:link w:val="Heading5Char"/>
    <w:uiPriority w:val="9"/>
    <w:qFormat/>
    <w:rsid w:val="00CA6611"/>
    <w:pPr>
      <w:outlineLvl w:val="4"/>
    </w:pPr>
    <w:rPr>
      <w:rFonts w:asciiTheme="majorHAnsi" w:eastAsia="Times New Roman" w:hAnsiTheme="majorHAnsi" w:cs="Times New Roman"/>
      <w:b/>
      <w:bCs/>
      <w:color w:val="0070C0"/>
      <w:sz w:val="24"/>
      <w:szCs w:val="24"/>
      <w:lang w:eastAsia="en-AU"/>
    </w:rPr>
  </w:style>
  <w:style w:type="paragraph" w:styleId="Heading6">
    <w:name w:val="heading 6"/>
    <w:basedOn w:val="Normal"/>
    <w:link w:val="Heading6Char"/>
    <w:uiPriority w:val="9"/>
    <w:qFormat/>
    <w:rsid w:val="00CA6611"/>
    <w:pPr>
      <w:spacing w:before="100" w:beforeAutospacing="1" w:after="100" w:afterAutospacing="1"/>
      <w:outlineLvl w:val="5"/>
    </w:pPr>
    <w:rPr>
      <w:rFonts w:asciiTheme="majorHAnsi" w:eastAsia="Times New Roman" w:hAnsiTheme="majorHAnsi"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A6611"/>
    <w:rPr>
      <w:sz w:val="20"/>
      <w:szCs w:val="20"/>
    </w:rPr>
  </w:style>
  <w:style w:type="character" w:customStyle="1" w:styleId="CommentTextChar">
    <w:name w:val="Comment Text Char"/>
    <w:basedOn w:val="DefaultParagraphFont"/>
    <w:link w:val="CommentText"/>
    <w:uiPriority w:val="99"/>
    <w:semiHidden/>
    <w:rsid w:val="00CA6611"/>
    <w:rPr>
      <w:sz w:val="20"/>
      <w:szCs w:val="20"/>
      <w:u w:val="none"/>
    </w:rPr>
  </w:style>
  <w:style w:type="character" w:styleId="CommentReference">
    <w:name w:val="annotation reference"/>
    <w:basedOn w:val="DefaultParagraphFont"/>
    <w:uiPriority w:val="99"/>
    <w:semiHidden/>
    <w:unhideWhenUsed/>
    <w:rsid w:val="00CA6611"/>
    <w:rPr>
      <w:sz w:val="16"/>
      <w:szCs w:val="16"/>
    </w:rPr>
  </w:style>
  <w:style w:type="paragraph" w:styleId="CommentSubject">
    <w:name w:val="annotation subject"/>
    <w:basedOn w:val="CommentText"/>
    <w:next w:val="CommentText"/>
    <w:link w:val="CommentSubjectChar"/>
    <w:uiPriority w:val="99"/>
    <w:semiHidden/>
    <w:unhideWhenUsed/>
    <w:rsid w:val="00CA6611"/>
    <w:rPr>
      <w:b/>
      <w:bCs/>
    </w:rPr>
  </w:style>
  <w:style w:type="character" w:customStyle="1" w:styleId="CommentSubjectChar">
    <w:name w:val="Comment Subject Char"/>
    <w:basedOn w:val="CommentTextChar"/>
    <w:link w:val="CommentSubject"/>
    <w:uiPriority w:val="99"/>
    <w:semiHidden/>
    <w:rsid w:val="00CA6611"/>
    <w:rPr>
      <w:b/>
      <w:bCs/>
      <w:sz w:val="20"/>
      <w:szCs w:val="20"/>
      <w:u w:val="none"/>
    </w:rPr>
  </w:style>
  <w:style w:type="paragraph" w:styleId="BalloonText">
    <w:name w:val="Balloon Text"/>
    <w:basedOn w:val="Normal"/>
    <w:link w:val="BalloonTextChar"/>
    <w:uiPriority w:val="99"/>
    <w:semiHidden/>
    <w:unhideWhenUsed/>
    <w:rsid w:val="00CA6611"/>
    <w:rPr>
      <w:rFonts w:ascii="Tahoma" w:hAnsi="Tahoma" w:cs="Tahoma"/>
      <w:sz w:val="16"/>
      <w:szCs w:val="16"/>
    </w:rPr>
  </w:style>
  <w:style w:type="character" w:customStyle="1" w:styleId="BalloonTextChar">
    <w:name w:val="Balloon Text Char"/>
    <w:basedOn w:val="DefaultParagraphFont"/>
    <w:link w:val="BalloonText"/>
    <w:uiPriority w:val="99"/>
    <w:semiHidden/>
    <w:rsid w:val="00CA6611"/>
    <w:rPr>
      <w:rFonts w:ascii="Tahoma" w:hAnsi="Tahoma" w:cs="Tahoma"/>
      <w:sz w:val="16"/>
      <w:szCs w:val="16"/>
      <w:u w:val="none"/>
    </w:rPr>
  </w:style>
  <w:style w:type="character" w:customStyle="1" w:styleId="Heading1Char">
    <w:name w:val="Heading 1 Char"/>
    <w:basedOn w:val="DefaultParagraphFont"/>
    <w:link w:val="Heading1"/>
    <w:uiPriority w:val="9"/>
    <w:rsid w:val="00CA6611"/>
    <w:rPr>
      <w:rFonts w:asciiTheme="majorHAnsi" w:eastAsia="Times New Roman" w:hAnsiTheme="majorHAnsi" w:cs="Times New Roman"/>
      <w:b/>
      <w:bCs/>
      <w:color w:val="0070C0"/>
      <w:kern w:val="36"/>
      <w:sz w:val="33"/>
      <w:szCs w:val="33"/>
      <w:u w:val="none"/>
      <w:lang w:eastAsia="en-AU"/>
    </w:rPr>
  </w:style>
  <w:style w:type="character" w:customStyle="1" w:styleId="Heading2Char">
    <w:name w:val="Heading 2 Char"/>
    <w:basedOn w:val="DefaultParagraphFont"/>
    <w:link w:val="Heading2"/>
    <w:uiPriority w:val="9"/>
    <w:rsid w:val="00CA6611"/>
    <w:rPr>
      <w:rFonts w:asciiTheme="majorHAnsi" w:eastAsia="Times New Roman" w:hAnsiTheme="majorHAnsi" w:cs="Times New Roman"/>
      <w:b/>
      <w:bCs/>
      <w:color w:val="0070C0"/>
      <w:sz w:val="30"/>
      <w:szCs w:val="30"/>
      <w:u w:val="none"/>
      <w:lang w:eastAsia="en-AU"/>
    </w:rPr>
  </w:style>
  <w:style w:type="character" w:customStyle="1" w:styleId="Heading3Char">
    <w:name w:val="Heading 3 Char"/>
    <w:basedOn w:val="DefaultParagraphFont"/>
    <w:link w:val="Heading3"/>
    <w:uiPriority w:val="9"/>
    <w:rsid w:val="00CA6611"/>
    <w:rPr>
      <w:rFonts w:asciiTheme="majorHAnsi" w:eastAsia="Times New Roman" w:hAnsiTheme="majorHAnsi" w:cs="Times New Roman"/>
      <w:b/>
      <w:bCs/>
      <w:color w:val="0070C0"/>
      <w:sz w:val="26"/>
      <w:szCs w:val="26"/>
      <w:u w:val="none"/>
      <w:lang w:eastAsia="en-AU"/>
    </w:rPr>
  </w:style>
  <w:style w:type="character" w:customStyle="1" w:styleId="Heading4Char">
    <w:name w:val="Heading 4 Char"/>
    <w:basedOn w:val="DefaultParagraphFont"/>
    <w:link w:val="Heading4"/>
    <w:uiPriority w:val="9"/>
    <w:rsid w:val="00CA6611"/>
    <w:rPr>
      <w:rFonts w:asciiTheme="majorHAnsi" w:eastAsia="Times New Roman" w:hAnsiTheme="majorHAnsi" w:cs="Times New Roman"/>
      <w:b/>
      <w:bCs/>
      <w:color w:val="0070C0"/>
      <w:sz w:val="24"/>
      <w:szCs w:val="24"/>
      <w:u w:val="none"/>
      <w:lang w:eastAsia="en-AU"/>
    </w:rPr>
  </w:style>
  <w:style w:type="character" w:customStyle="1" w:styleId="Heading5Char">
    <w:name w:val="Heading 5 Char"/>
    <w:basedOn w:val="DefaultParagraphFont"/>
    <w:link w:val="Heading5"/>
    <w:uiPriority w:val="9"/>
    <w:rsid w:val="00CA6611"/>
    <w:rPr>
      <w:rFonts w:asciiTheme="majorHAnsi" w:eastAsia="Times New Roman" w:hAnsiTheme="majorHAnsi" w:cs="Times New Roman"/>
      <w:b/>
      <w:bCs/>
      <w:color w:val="0070C0"/>
      <w:sz w:val="24"/>
      <w:szCs w:val="24"/>
      <w:u w:val="none"/>
      <w:lang w:eastAsia="en-AU"/>
    </w:rPr>
  </w:style>
  <w:style w:type="character" w:customStyle="1" w:styleId="Heading6Char">
    <w:name w:val="Heading 6 Char"/>
    <w:basedOn w:val="DefaultParagraphFont"/>
    <w:link w:val="Heading6"/>
    <w:uiPriority w:val="9"/>
    <w:rsid w:val="00CA6611"/>
    <w:rPr>
      <w:rFonts w:asciiTheme="majorHAnsi" w:eastAsia="Times New Roman" w:hAnsiTheme="majorHAnsi" w:cs="Times New Roman"/>
      <w:b/>
      <w:bCs/>
      <w:sz w:val="24"/>
      <w:szCs w:val="24"/>
      <w:u w:val="none"/>
      <w:lang w:eastAsia="en-AU"/>
    </w:rPr>
  </w:style>
  <w:style w:type="character" w:styleId="Hyperlink">
    <w:name w:val="Hyperlink"/>
    <w:basedOn w:val="DefaultParagraphFont"/>
    <w:uiPriority w:val="99"/>
    <w:unhideWhenUsed/>
    <w:rsid w:val="00CA6611"/>
    <w:rPr>
      <w:color w:val="0000FF" w:themeColor="hyperlink"/>
      <w:u w:val="single"/>
    </w:rPr>
  </w:style>
  <w:style w:type="character" w:styleId="FollowedHyperlink">
    <w:name w:val="FollowedHyperlink"/>
    <w:basedOn w:val="DefaultParagraphFont"/>
    <w:uiPriority w:val="99"/>
    <w:semiHidden/>
    <w:unhideWhenUsed/>
    <w:rsid w:val="00CA6611"/>
    <w:rPr>
      <w:color w:val="800080" w:themeColor="followedHyperlink"/>
      <w:u w:val="single"/>
    </w:rPr>
  </w:style>
  <w:style w:type="paragraph" w:styleId="HTMLAddress">
    <w:name w:val="HTML Address"/>
    <w:basedOn w:val="Normal"/>
    <w:link w:val="HTMLAddressChar"/>
    <w:uiPriority w:val="99"/>
    <w:semiHidden/>
    <w:unhideWhenUsed/>
    <w:rsid w:val="00CA6611"/>
    <w:rPr>
      <w:rFonts w:ascii="Times New Roman" w:eastAsia="Times New Roman" w:hAnsi="Times New Roman" w:cs="Times New Roman"/>
      <w:sz w:val="24"/>
      <w:szCs w:val="24"/>
      <w:lang w:eastAsia="en-AU"/>
    </w:rPr>
  </w:style>
  <w:style w:type="character" w:customStyle="1" w:styleId="HTMLAddressChar">
    <w:name w:val="HTML Address Char"/>
    <w:basedOn w:val="DefaultParagraphFont"/>
    <w:link w:val="HTMLAddress"/>
    <w:uiPriority w:val="99"/>
    <w:semiHidden/>
    <w:rsid w:val="00CA6611"/>
    <w:rPr>
      <w:rFonts w:ascii="Times New Roman" w:eastAsia="Times New Roman" w:hAnsi="Times New Roman" w:cs="Times New Roman"/>
      <w:sz w:val="24"/>
      <w:szCs w:val="24"/>
      <w:u w:val="none"/>
      <w:lang w:eastAsia="en-AU"/>
    </w:rPr>
  </w:style>
  <w:style w:type="table" w:styleId="TableGrid">
    <w:name w:val="Table Grid"/>
    <w:basedOn w:val="TableNormal"/>
    <w:uiPriority w:val="59"/>
    <w:rsid w:val="00CA6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CA6611"/>
    <w:rPr>
      <w:b/>
      <w:bCs/>
      <w:i/>
      <w:iCs/>
      <w:color w:val="4F81BD" w:themeColor="accent1"/>
    </w:rPr>
  </w:style>
  <w:style w:type="paragraph" w:styleId="Title">
    <w:name w:val="Title"/>
    <w:basedOn w:val="Normal"/>
    <w:next w:val="Normal"/>
    <w:link w:val="TitleChar"/>
    <w:uiPriority w:val="10"/>
    <w:qFormat/>
    <w:rsid w:val="00CA66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6611"/>
    <w:rPr>
      <w:rFonts w:asciiTheme="majorHAnsi" w:eastAsiaTheme="majorEastAsia" w:hAnsiTheme="majorHAnsi" w:cstheme="majorBidi"/>
      <w:color w:val="17365D" w:themeColor="text2" w:themeShade="BF"/>
      <w:spacing w:val="5"/>
      <w:kern w:val="28"/>
      <w:sz w:val="52"/>
      <w:szCs w:val="52"/>
      <w:u w:val="none"/>
    </w:rPr>
  </w:style>
  <w:style w:type="character" w:styleId="SubtleEmphasis">
    <w:name w:val="Subtle Emphasis"/>
    <w:basedOn w:val="DefaultParagraphFont"/>
    <w:uiPriority w:val="19"/>
    <w:qFormat/>
    <w:rsid w:val="00CA6611"/>
    <w:rPr>
      <w:i/>
      <w:iCs/>
      <w:color w:val="808080" w:themeColor="text1" w:themeTint="7F"/>
      <w:u w:val="none"/>
    </w:rPr>
  </w:style>
  <w:style w:type="paragraph" w:styleId="Footer">
    <w:name w:val="footer"/>
    <w:basedOn w:val="Normal"/>
    <w:link w:val="FooterChar"/>
    <w:uiPriority w:val="99"/>
    <w:unhideWhenUsed/>
    <w:rsid w:val="00E20CDB"/>
    <w:pPr>
      <w:tabs>
        <w:tab w:val="center" w:pos="4513"/>
        <w:tab w:val="right" w:pos="9026"/>
      </w:tabs>
    </w:pPr>
  </w:style>
  <w:style w:type="character" w:customStyle="1" w:styleId="FooterChar">
    <w:name w:val="Footer Char"/>
    <w:basedOn w:val="DefaultParagraphFont"/>
    <w:link w:val="Footer"/>
    <w:uiPriority w:val="99"/>
    <w:rsid w:val="00E20CDB"/>
    <w:rPr>
      <w:u w:val="none"/>
    </w:rPr>
  </w:style>
  <w:style w:type="paragraph" w:styleId="ListParagraph">
    <w:name w:val="List Paragraph"/>
    <w:basedOn w:val="Normal"/>
    <w:uiPriority w:val="34"/>
    <w:qFormat/>
    <w:rsid w:val="00D61911"/>
    <w:pPr>
      <w:spacing w:after="160" w:line="259" w:lineRule="auto"/>
      <w:ind w:left="720"/>
      <w:contextualSpacing/>
    </w:pPr>
    <w:rPr>
      <w:rFonts w:asciiTheme="minorHAnsi" w:hAnsiTheme="minorHAnsi"/>
    </w:rPr>
  </w:style>
  <w:style w:type="paragraph" w:styleId="NormalWeb">
    <w:name w:val="Normal (Web)"/>
    <w:basedOn w:val="Normal"/>
    <w:uiPriority w:val="99"/>
    <w:semiHidden/>
    <w:unhideWhenUsed/>
    <w:rsid w:val="00C301B9"/>
    <w:rPr>
      <w:rFonts w:ascii="Times New Roman" w:hAnsi="Times New Roman" w:cs="Times New Roman"/>
      <w:sz w:val="24"/>
      <w:szCs w:val="24"/>
    </w:rPr>
  </w:style>
  <w:style w:type="paragraph" w:styleId="BlockText">
    <w:name w:val="Block Text"/>
    <w:basedOn w:val="Normal"/>
    <w:uiPriority w:val="99"/>
    <w:rsid w:val="001D73D5"/>
    <w:pPr>
      <w:spacing w:after="240"/>
      <w:ind w:left="720"/>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0131BD"/>
    <w:pPr>
      <w:tabs>
        <w:tab w:val="center" w:pos="4680"/>
        <w:tab w:val="right" w:pos="9360"/>
      </w:tabs>
    </w:pPr>
  </w:style>
  <w:style w:type="character" w:customStyle="1" w:styleId="HeaderChar">
    <w:name w:val="Header Char"/>
    <w:basedOn w:val="DefaultParagraphFont"/>
    <w:link w:val="Header"/>
    <w:uiPriority w:val="99"/>
    <w:rsid w:val="000131BD"/>
    <w:rPr>
      <w:u w:val="none"/>
    </w:rPr>
  </w:style>
  <w:style w:type="paragraph" w:customStyle="1" w:styleId="GGA1">
    <w:name w:val="GGA1"/>
    <w:basedOn w:val="Heading1"/>
    <w:link w:val="GGA1Char"/>
    <w:qFormat/>
    <w:rsid w:val="00436AC5"/>
    <w:pPr>
      <w:jc w:val="center"/>
    </w:pPr>
    <w:rPr>
      <w:rFonts w:ascii="Alegreya Sans Light" w:eastAsia="MS PGothic" w:hAnsi="Alegreya Sans Light"/>
      <w:color w:val="0033A1"/>
      <w:sz w:val="52"/>
      <w:lang w:val="en-US"/>
    </w:rPr>
  </w:style>
  <w:style w:type="paragraph" w:customStyle="1" w:styleId="GGA2">
    <w:name w:val="GGA2"/>
    <w:basedOn w:val="Heading2"/>
    <w:link w:val="GGA2Char"/>
    <w:qFormat/>
    <w:rsid w:val="00207EA4"/>
    <w:rPr>
      <w:rFonts w:ascii="Alegreya Sans" w:hAnsi="Alegreya Sans"/>
      <w:b w:val="0"/>
      <w:color w:val="F6B436"/>
      <w:sz w:val="32"/>
    </w:rPr>
  </w:style>
  <w:style w:type="character" w:customStyle="1" w:styleId="GGA1Char">
    <w:name w:val="GGA1 Char"/>
    <w:basedOn w:val="Heading3Char"/>
    <w:link w:val="GGA1"/>
    <w:rsid w:val="00436AC5"/>
    <w:rPr>
      <w:rFonts w:ascii="Alegreya Sans Light" w:eastAsia="MS PGothic" w:hAnsi="Alegreya Sans Light" w:cs="Times New Roman"/>
      <w:b/>
      <w:bCs/>
      <w:color w:val="0033A1"/>
      <w:kern w:val="36"/>
      <w:sz w:val="52"/>
      <w:szCs w:val="33"/>
      <w:u w:val="none"/>
      <w:lang w:val="en-US" w:eastAsia="en-AU"/>
    </w:rPr>
  </w:style>
  <w:style w:type="paragraph" w:customStyle="1" w:styleId="GGA3">
    <w:name w:val="GGA3"/>
    <w:basedOn w:val="GGA2"/>
    <w:link w:val="GGA3Char"/>
    <w:qFormat/>
    <w:rsid w:val="00436AC5"/>
    <w:rPr>
      <w:rFonts w:ascii="Segoe Print" w:hAnsi="Segoe Print"/>
      <w:color w:val="0033A1"/>
    </w:rPr>
  </w:style>
  <w:style w:type="character" w:customStyle="1" w:styleId="GGA2Char">
    <w:name w:val="GGA2 Char"/>
    <w:basedOn w:val="Heading2Char"/>
    <w:link w:val="GGA2"/>
    <w:rsid w:val="00207EA4"/>
    <w:rPr>
      <w:rFonts w:ascii="Alegreya Sans" w:eastAsia="Times New Roman" w:hAnsi="Alegreya Sans" w:cs="Times New Roman"/>
      <w:b w:val="0"/>
      <w:bCs/>
      <w:color w:val="F6B436"/>
      <w:sz w:val="32"/>
      <w:szCs w:val="30"/>
      <w:u w:val="none"/>
      <w:lang w:eastAsia="en-AU"/>
    </w:rPr>
  </w:style>
  <w:style w:type="paragraph" w:customStyle="1" w:styleId="GGA4">
    <w:name w:val="GGA4"/>
    <w:basedOn w:val="GGA3"/>
    <w:link w:val="GGA4Char"/>
    <w:qFormat/>
    <w:rsid w:val="00436AC5"/>
    <w:rPr>
      <w:rFonts w:eastAsiaTheme="minorHAnsi"/>
      <w:sz w:val="28"/>
    </w:rPr>
  </w:style>
  <w:style w:type="character" w:customStyle="1" w:styleId="GGA3Char">
    <w:name w:val="GGA3 Char"/>
    <w:basedOn w:val="GGA2Char"/>
    <w:link w:val="GGA3"/>
    <w:rsid w:val="00436AC5"/>
    <w:rPr>
      <w:rFonts w:ascii="Segoe Print" w:eastAsia="Times New Roman" w:hAnsi="Segoe Print" w:cs="Times New Roman"/>
      <w:b w:val="0"/>
      <w:bCs/>
      <w:color w:val="0033A1"/>
      <w:sz w:val="32"/>
      <w:szCs w:val="30"/>
      <w:u w:val="none"/>
      <w:lang w:eastAsia="en-AU"/>
    </w:rPr>
  </w:style>
  <w:style w:type="character" w:customStyle="1" w:styleId="GGA4Char">
    <w:name w:val="GGA4 Char"/>
    <w:basedOn w:val="GGA3Char"/>
    <w:link w:val="GGA4"/>
    <w:rsid w:val="00436AC5"/>
    <w:rPr>
      <w:rFonts w:ascii="Segoe Print" w:eastAsia="Times New Roman" w:hAnsi="Segoe Print" w:cs="Times New Roman"/>
      <w:b w:val="0"/>
      <w:bCs/>
      <w:color w:val="0033A1"/>
      <w:sz w:val="28"/>
      <w:szCs w:val="30"/>
      <w:u w:val="none"/>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197">
      <w:bodyDiv w:val="1"/>
      <w:marLeft w:val="0"/>
      <w:marRight w:val="0"/>
      <w:marTop w:val="0"/>
      <w:marBottom w:val="0"/>
      <w:divBdr>
        <w:top w:val="none" w:sz="0" w:space="0" w:color="auto"/>
        <w:left w:val="none" w:sz="0" w:space="0" w:color="auto"/>
        <w:bottom w:val="none" w:sz="0" w:space="0" w:color="auto"/>
        <w:right w:val="none" w:sz="0" w:space="0" w:color="auto"/>
      </w:divBdr>
      <w:divsChild>
        <w:div w:id="1572890155">
          <w:marLeft w:val="1166"/>
          <w:marRight w:val="0"/>
          <w:marTop w:val="96"/>
          <w:marBottom w:val="0"/>
          <w:divBdr>
            <w:top w:val="none" w:sz="0" w:space="0" w:color="auto"/>
            <w:left w:val="none" w:sz="0" w:space="0" w:color="auto"/>
            <w:bottom w:val="none" w:sz="0" w:space="0" w:color="auto"/>
            <w:right w:val="none" w:sz="0" w:space="0" w:color="auto"/>
          </w:divBdr>
        </w:div>
        <w:div w:id="850411208">
          <w:marLeft w:val="1166"/>
          <w:marRight w:val="0"/>
          <w:marTop w:val="96"/>
          <w:marBottom w:val="0"/>
          <w:divBdr>
            <w:top w:val="none" w:sz="0" w:space="0" w:color="auto"/>
            <w:left w:val="none" w:sz="0" w:space="0" w:color="auto"/>
            <w:bottom w:val="none" w:sz="0" w:space="0" w:color="auto"/>
            <w:right w:val="none" w:sz="0" w:space="0" w:color="auto"/>
          </w:divBdr>
        </w:div>
      </w:divsChild>
    </w:div>
    <w:div w:id="195050658">
      <w:bodyDiv w:val="1"/>
      <w:marLeft w:val="0"/>
      <w:marRight w:val="0"/>
      <w:marTop w:val="0"/>
      <w:marBottom w:val="0"/>
      <w:divBdr>
        <w:top w:val="none" w:sz="0" w:space="0" w:color="auto"/>
        <w:left w:val="none" w:sz="0" w:space="0" w:color="auto"/>
        <w:bottom w:val="none" w:sz="0" w:space="0" w:color="auto"/>
        <w:right w:val="none" w:sz="0" w:space="0" w:color="auto"/>
      </w:divBdr>
      <w:divsChild>
        <w:div w:id="998194124">
          <w:marLeft w:val="0"/>
          <w:marRight w:val="0"/>
          <w:marTop w:val="0"/>
          <w:marBottom w:val="0"/>
          <w:divBdr>
            <w:top w:val="none" w:sz="0" w:space="0" w:color="auto"/>
            <w:left w:val="none" w:sz="0" w:space="0" w:color="auto"/>
            <w:bottom w:val="none" w:sz="0" w:space="0" w:color="auto"/>
            <w:right w:val="none" w:sz="0" w:space="0" w:color="auto"/>
          </w:divBdr>
          <w:divsChild>
            <w:div w:id="497430266">
              <w:marLeft w:val="0"/>
              <w:marRight w:val="0"/>
              <w:marTop w:val="0"/>
              <w:marBottom w:val="0"/>
              <w:divBdr>
                <w:top w:val="none" w:sz="0" w:space="0" w:color="auto"/>
                <w:left w:val="none" w:sz="0" w:space="0" w:color="auto"/>
                <w:bottom w:val="none" w:sz="0" w:space="0" w:color="auto"/>
                <w:right w:val="none" w:sz="0" w:space="0" w:color="auto"/>
              </w:divBdr>
              <w:divsChild>
                <w:div w:id="1266308963">
                  <w:marLeft w:val="0"/>
                  <w:marRight w:val="0"/>
                  <w:marTop w:val="0"/>
                  <w:marBottom w:val="0"/>
                  <w:divBdr>
                    <w:top w:val="none" w:sz="0" w:space="0" w:color="auto"/>
                    <w:left w:val="none" w:sz="0" w:space="0" w:color="auto"/>
                    <w:bottom w:val="none" w:sz="0" w:space="0" w:color="auto"/>
                    <w:right w:val="none" w:sz="0" w:space="0" w:color="auto"/>
                  </w:divBdr>
                  <w:divsChild>
                    <w:div w:id="1704751347">
                      <w:marLeft w:val="0"/>
                      <w:marRight w:val="0"/>
                      <w:marTop w:val="0"/>
                      <w:marBottom w:val="0"/>
                      <w:divBdr>
                        <w:top w:val="none" w:sz="0" w:space="0" w:color="auto"/>
                        <w:left w:val="none" w:sz="0" w:space="0" w:color="auto"/>
                        <w:bottom w:val="none" w:sz="0" w:space="0" w:color="auto"/>
                        <w:right w:val="none" w:sz="0" w:space="0" w:color="auto"/>
                      </w:divBdr>
                      <w:divsChild>
                        <w:div w:id="441611848">
                          <w:marLeft w:val="0"/>
                          <w:marRight w:val="0"/>
                          <w:marTop w:val="0"/>
                          <w:marBottom w:val="0"/>
                          <w:divBdr>
                            <w:top w:val="none" w:sz="0" w:space="0" w:color="auto"/>
                            <w:left w:val="none" w:sz="0" w:space="0" w:color="auto"/>
                            <w:bottom w:val="none" w:sz="0" w:space="0" w:color="auto"/>
                            <w:right w:val="none" w:sz="0" w:space="0" w:color="auto"/>
                          </w:divBdr>
                          <w:divsChild>
                            <w:div w:id="15129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eosensa.com/en/risk-management-should-not-be-viewed-as-a-project-but-rather-as-an-ongoing-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C05A5-1B5D-4531-AA71-376118F8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Response Consulting Australia</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Borchardt</dc:creator>
  <cp:lastModifiedBy>Colleen Fitzgerald</cp:lastModifiedBy>
  <cp:revision>2</cp:revision>
  <cp:lastPrinted>2014-05-23T04:43:00Z</cp:lastPrinted>
  <dcterms:created xsi:type="dcterms:W3CDTF">2018-04-24T05:01:00Z</dcterms:created>
  <dcterms:modified xsi:type="dcterms:W3CDTF">2018-04-24T05:01:00Z</dcterms:modified>
</cp:coreProperties>
</file>